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sz w:val="36"/>
          <w:szCs w:val="36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>от 1</w:t>
      </w:r>
      <w:r>
        <w:rPr>
          <w:rFonts w:cs="Times New Roman" w:ascii="Times New Roman" w:hAnsi="Times New Roman"/>
          <w:sz w:val="28"/>
          <w:szCs w:val="28"/>
          <w:highlight w:val="white"/>
        </w:rPr>
        <w:t>2 октября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2023 года                                                                                       № 1</w:t>
      </w:r>
      <w:r>
        <w:rPr>
          <w:rFonts w:cs="Times New Roman" w:ascii="Times New Roman" w:hAnsi="Times New Roman"/>
          <w:sz w:val="28"/>
          <w:szCs w:val="28"/>
          <w:highlight w:val="white"/>
        </w:rPr>
        <w:t>50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следующее изменение: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включить в состав комиссии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по делам несовершеннолетних и защите их прав Полтавского муниципального района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Молдаспаев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а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 Рустам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а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 Кучербаевич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а,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старш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его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 инспектор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а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Полтавского межмуниципального филиала ФКУ УИИ УФСИН России по Омской области (по согласованию)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;</w:t>
      </w:r>
    </w:p>
    <w:p>
      <w:pPr>
        <w:pStyle w:val="Normal"/>
        <w:spacing w:lineRule="atLeast" w:line="322" w:before="0" w:after="0"/>
        <w:ind w:firstLine="686"/>
        <w:jc w:val="both"/>
        <w:rPr>
          <w:b w:val="false"/>
          <w:b w:val="false"/>
          <w:bCs w:val="false"/>
          <w:sz w:val="28"/>
          <w:szCs w:val="28"/>
        </w:rPr>
      </w:pP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- исключить из состава комиссии по делам несовершеннолетних и защите их прав Полтавского муниципального района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Малендора Евгения Сергеевича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highlight w:val="whit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Глава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Омской области                                                                                  А.В. Милашенко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Согласовано: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Первый заместитель главы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Полтавского муниципального района                                                 В.В. Никитина</w:t>
      </w:r>
    </w:p>
    <w:sectPr>
      <w:type w:val="nextPage"/>
      <w:pgSz w:w="12240" w:h="15840"/>
      <w:pgMar w:left="1439" w:right="1048" w:header="0" w:top="86" w:footer="0" w:bottom="709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Application>LibreOffice/7.0.6.2$Linux_X86_64 LibreOffice_project/00$Build-2</Application>
  <AppVersion>15.0000</AppVersion>
  <Pages>1</Pages>
  <Words>195</Words>
  <Characters>1193</Characters>
  <CharactersWithSpaces>1596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2022-11-14T10:59:03Z</cp:lastPrinted>
  <dcterms:modified xsi:type="dcterms:W3CDTF">2023-10-12T11:42:54Z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