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color w:val="000000"/>
        </w:rPr>
      </w:pPr>
      <w:r>
        <w:rPr>
          <w:b/>
          <w:color w:val="000000"/>
        </w:rPr>
        <w:t>Комитет имущественных отношений Администрации Полтавского муниципального района Омской области</w:t>
      </w:r>
    </w:p>
    <w:p>
      <w:pPr>
        <w:pStyle w:val="Normal"/>
        <w:suppressAutoHyphens w:val="false"/>
        <w:jc w:val="center"/>
        <w:rPr>
          <w:i/>
          <w:i/>
          <w:iCs/>
          <w:lang w:eastAsia="ru-RU"/>
        </w:rPr>
      </w:pPr>
      <w:r>
        <w:rPr>
          <w:i/>
          <w:color w:themeColor="text1" w:val="000000"/>
        </w:rPr>
        <w:t xml:space="preserve">сообщает о проведении </w:t>
      </w:r>
      <w:r>
        <w:rPr>
          <w:i/>
          <w:iCs/>
          <w:lang w:eastAsia="ru-RU"/>
        </w:rPr>
        <w:t>продажи имущества посредством публичного предложения,</w:t>
      </w:r>
    </w:p>
    <w:p>
      <w:pPr>
        <w:pStyle w:val="Normal"/>
        <w:jc w:val="center"/>
        <w:rPr>
          <w:i/>
          <w:i/>
          <w:color w:themeColor="text1" w:val="000000"/>
        </w:rPr>
      </w:pPr>
      <w:r>
        <w:rPr>
          <w:i/>
          <w:color w:themeColor="text1" w:val="000000"/>
        </w:rPr>
        <w:t>в электронной форме</w:t>
      </w:r>
    </w:p>
    <w:p>
      <w:pPr>
        <w:pStyle w:val="14"/>
        <w:widowControl w:val="false"/>
        <w:tabs>
          <w:tab w:val="clear" w:pos="708"/>
          <w:tab w:val="left" w:pos="5660" w:leader="none"/>
        </w:tabs>
        <w:jc w:val="center"/>
        <w:rPr>
          <w:b/>
          <w:color w:themeColor="text1" w:val="000000"/>
          <w:sz w:val="20"/>
        </w:rPr>
      </w:pPr>
      <w:r>
        <w:rPr>
          <w:b/>
          <w:color w:themeColor="text1" w:val="000000"/>
          <w:sz w:val="20"/>
        </w:rPr>
      </w:r>
    </w:p>
    <w:p>
      <w:pPr>
        <w:pStyle w:val="14"/>
        <w:widowControl w:val="false"/>
        <w:tabs>
          <w:tab w:val="clear" w:pos="708"/>
          <w:tab w:val="left" w:pos="5660" w:leader="none"/>
        </w:tabs>
        <w:jc w:val="center"/>
        <w:rPr>
          <w:b/>
          <w:color w:themeColor="text1" w:val="000000"/>
          <w:sz w:val="20"/>
        </w:rPr>
      </w:pPr>
      <w:r>
        <w:rPr>
          <w:b/>
          <w:color w:themeColor="text1" w:val="000000"/>
          <w:sz w:val="20"/>
          <w:lang w:val="en-US"/>
        </w:rPr>
        <w:t>I</w:t>
      </w:r>
      <w:r>
        <w:rPr>
          <w:b/>
          <w:color w:themeColor="text1" w:val="000000"/>
          <w:sz w:val="20"/>
        </w:rPr>
        <w:t>. ОБЩИЕ ПОЛОЖЕНИЯ</w:t>
      </w:r>
    </w:p>
    <w:p>
      <w:pPr>
        <w:pStyle w:val="Normal"/>
        <w:ind w:firstLine="567"/>
        <w:jc w:val="both"/>
        <w:rPr>
          <w:color w:themeColor="text1" w:val="000000"/>
        </w:rPr>
      </w:pPr>
      <w:r>
        <w:rPr>
          <w:b/>
          <w:i/>
          <w:color w:themeColor="text1" w:val="000000"/>
        </w:rPr>
        <w:t xml:space="preserve"> </w:t>
      </w:r>
      <w:r>
        <w:rPr>
          <w:b/>
          <w:i/>
          <w:color w:themeColor="text1" w:val="000000"/>
        </w:rPr>
        <w:t xml:space="preserve">1. Собственник продаваемого имущества </w:t>
      </w:r>
      <w:r>
        <w:rPr>
          <w:color w:themeColor="text1" w:val="000000"/>
        </w:rPr>
        <w:t>– Муниципальное образование Полтавский муниципальный район Омской области.</w:t>
      </w:r>
    </w:p>
    <w:p>
      <w:pPr>
        <w:pStyle w:val="Normal"/>
        <w:ind w:firstLine="567"/>
        <w:jc w:val="both"/>
        <w:rPr>
          <w:color w:themeColor="text1" w:val="000000"/>
        </w:rPr>
      </w:pPr>
      <w:r>
        <w:rPr>
          <w:b/>
          <w:i/>
          <w:color w:themeColor="text1" w:val="000000"/>
        </w:rPr>
        <w:t xml:space="preserve"> </w:t>
      </w:r>
      <w:r>
        <w:rPr>
          <w:b/>
          <w:i/>
          <w:color w:themeColor="text1" w:val="000000"/>
        </w:rPr>
        <w:t xml:space="preserve">2. Организатор торгов - </w:t>
      </w:r>
      <w:r>
        <w:rPr>
          <w:color w:themeColor="text1" w:val="000000"/>
        </w:rPr>
        <w:t>Комитет имущественных отношений Администрации Полтавского муниципального района Омской области</w:t>
      </w:r>
    </w:p>
    <w:p>
      <w:pPr>
        <w:pStyle w:val="Normal"/>
        <w:ind w:firstLine="567"/>
        <w:jc w:val="both"/>
        <w:rPr>
          <w:i/>
          <w:i/>
          <w:color w:themeColor="text1" w:val="000000"/>
        </w:rPr>
      </w:pPr>
      <w:r>
        <w:rPr>
          <w:b/>
          <w:i/>
          <w:color w:themeColor="text1" w:val="000000"/>
        </w:rPr>
        <w:t xml:space="preserve"> </w:t>
      </w:r>
      <w:r>
        <w:rPr>
          <w:b/>
          <w:i/>
          <w:color w:themeColor="text1" w:val="000000"/>
        </w:rPr>
        <w:t>3</w:t>
      </w:r>
      <w:r>
        <w:rPr>
          <w:i/>
          <w:color w:themeColor="text1" w:val="000000"/>
        </w:rPr>
        <w:t xml:space="preserve">. </w:t>
      </w:r>
      <w:r>
        <w:rPr>
          <w:b/>
          <w:i/>
          <w:color w:themeColor="text1" w:val="000000"/>
        </w:rPr>
        <w:t xml:space="preserve">Форма торгов (способ приватизации) </w:t>
      </w:r>
      <w:r>
        <w:rPr>
          <w:color w:val="000000"/>
        </w:rPr>
        <w:t>– Продажа имущества посредством публичного предложения в электронной форме.</w:t>
      </w:r>
    </w:p>
    <w:p>
      <w:pPr>
        <w:pStyle w:val="14"/>
        <w:widowControl w:val="false"/>
        <w:tabs>
          <w:tab w:val="clear" w:pos="708"/>
          <w:tab w:val="left" w:pos="5660" w:leader="none"/>
        </w:tabs>
        <w:ind w:firstLine="567"/>
        <w:jc w:val="both"/>
        <w:rPr>
          <w:color w:themeColor="text1" w:val="000000"/>
          <w:sz w:val="20"/>
        </w:rPr>
      </w:pPr>
      <w:r>
        <w:rPr>
          <w:b/>
          <w:i/>
          <w:color w:themeColor="text1" w:val="000000"/>
          <w:sz w:val="20"/>
        </w:rPr>
        <w:t xml:space="preserve"> </w:t>
      </w:r>
      <w:r>
        <w:rPr>
          <w:b/>
          <w:i/>
          <w:color w:themeColor="text1" w:val="000000"/>
          <w:sz w:val="20"/>
        </w:rPr>
        <w:t xml:space="preserve">4.  Дата начала приема заявок на участие в аукционе </w:t>
      </w:r>
      <w:r>
        <w:rPr>
          <w:color w:themeColor="text1" w:val="000000"/>
          <w:sz w:val="20"/>
        </w:rPr>
        <w:t xml:space="preserve">-  </w:t>
      </w:r>
      <w:r>
        <w:rPr>
          <w:color w:themeColor="text1" w:val="000000"/>
          <w:sz w:val="20"/>
        </w:rPr>
        <w:t>02</w:t>
      </w:r>
      <w:r>
        <w:rPr>
          <w:color w:themeColor="text1" w:val="000000"/>
          <w:sz w:val="20"/>
        </w:rPr>
        <w:t xml:space="preserve"> </w:t>
      </w:r>
      <w:r>
        <w:rPr>
          <w:color w:themeColor="text1" w:val="000000"/>
          <w:sz w:val="20"/>
        </w:rPr>
        <w:t>ноября</w:t>
      </w:r>
      <w:r>
        <w:rPr>
          <w:color w:themeColor="text1" w:val="000000"/>
          <w:sz w:val="20"/>
        </w:rPr>
        <w:t xml:space="preserve"> 202</w:t>
      </w:r>
      <w:r>
        <w:rPr>
          <w:color w:themeColor="text1" w:val="000000"/>
          <w:sz w:val="20"/>
        </w:rPr>
        <w:t>4</w:t>
      </w:r>
      <w:r>
        <w:rPr>
          <w:color w:themeColor="text1" w:val="000000"/>
          <w:sz w:val="20"/>
        </w:rPr>
        <w:t>г.</w:t>
      </w:r>
    </w:p>
    <w:p>
      <w:pPr>
        <w:pStyle w:val="14"/>
        <w:widowControl w:val="false"/>
        <w:tabs>
          <w:tab w:val="clear" w:pos="708"/>
          <w:tab w:val="left" w:pos="5660" w:leader="none"/>
        </w:tabs>
        <w:ind w:firstLine="567"/>
        <w:jc w:val="both"/>
        <w:rPr>
          <w:i/>
          <w:i/>
          <w:color w:themeColor="text1" w:val="000000"/>
          <w:sz w:val="20"/>
        </w:rPr>
      </w:pPr>
      <w:r>
        <w:rPr>
          <w:i/>
          <w:color w:themeColor="text1" w:val="000000"/>
          <w:sz w:val="20"/>
        </w:rPr>
        <w:t xml:space="preserve"> </w:t>
      </w:r>
      <w:r>
        <w:rPr>
          <w:b/>
          <w:i/>
          <w:color w:themeColor="text1" w:val="000000"/>
          <w:sz w:val="20"/>
        </w:rPr>
        <w:t>5</w:t>
      </w:r>
      <w:r>
        <w:rPr>
          <w:i/>
          <w:color w:themeColor="text1" w:val="000000"/>
          <w:sz w:val="20"/>
        </w:rPr>
        <w:t>.</w:t>
      </w:r>
      <w:r>
        <w:rPr>
          <w:color w:themeColor="text1" w:val="000000"/>
          <w:sz w:val="20"/>
        </w:rPr>
        <w:t xml:space="preserve"> </w:t>
      </w:r>
      <w:r>
        <w:rPr>
          <w:i/>
          <w:color w:themeColor="text1" w:val="000000"/>
          <w:sz w:val="20"/>
        </w:rPr>
        <w:t xml:space="preserve"> </w:t>
      </w:r>
      <w:r>
        <w:rPr>
          <w:b/>
          <w:i/>
          <w:color w:themeColor="text1" w:val="000000"/>
          <w:sz w:val="20"/>
        </w:rPr>
        <w:t>Дата окончания  приема заявок на участие в продаже</w:t>
      </w:r>
      <w:r>
        <w:rPr>
          <w:i/>
          <w:color w:themeColor="text1" w:val="000000"/>
          <w:sz w:val="20"/>
        </w:rPr>
        <w:t xml:space="preserve"> </w:t>
      </w:r>
      <w:r>
        <w:rPr>
          <w:color w:themeColor="text1" w:val="000000"/>
          <w:sz w:val="20"/>
        </w:rPr>
        <w:t xml:space="preserve"> - </w:t>
      </w:r>
      <w:r>
        <w:rPr>
          <w:color w:themeColor="text1" w:val="000000"/>
          <w:sz w:val="20"/>
        </w:rPr>
        <w:t>02</w:t>
      </w:r>
      <w:r>
        <w:rPr>
          <w:color w:themeColor="text1" w:val="000000"/>
          <w:sz w:val="20"/>
        </w:rPr>
        <w:t xml:space="preserve"> </w:t>
      </w:r>
      <w:r>
        <w:rPr>
          <w:color w:themeColor="text1" w:val="000000"/>
          <w:sz w:val="20"/>
        </w:rPr>
        <w:t>декабря</w:t>
      </w:r>
      <w:r>
        <w:rPr>
          <w:color w:themeColor="text1" w:val="000000"/>
          <w:sz w:val="20"/>
        </w:rPr>
        <w:t xml:space="preserve"> 202</w:t>
      </w:r>
      <w:r>
        <w:rPr>
          <w:color w:themeColor="text1" w:val="000000"/>
          <w:sz w:val="20"/>
        </w:rPr>
        <w:t>4</w:t>
      </w:r>
      <w:r>
        <w:rPr>
          <w:color w:themeColor="text1" w:val="000000"/>
          <w:sz w:val="20"/>
        </w:rPr>
        <w:t>г.</w:t>
      </w:r>
    </w:p>
    <w:p>
      <w:pPr>
        <w:pStyle w:val="14"/>
        <w:widowControl w:val="false"/>
        <w:tabs>
          <w:tab w:val="clear" w:pos="708"/>
          <w:tab w:val="left" w:pos="5660" w:leader="none"/>
        </w:tabs>
        <w:ind w:firstLine="567"/>
        <w:jc w:val="both"/>
        <w:rPr>
          <w:color w:themeColor="text1" w:val="000000"/>
          <w:sz w:val="20"/>
        </w:rPr>
      </w:pPr>
      <w:r>
        <w:rPr>
          <w:i/>
          <w:color w:themeColor="text1" w:val="000000"/>
          <w:sz w:val="20"/>
        </w:rPr>
        <w:t xml:space="preserve"> </w:t>
      </w:r>
      <w:r>
        <w:rPr>
          <w:b/>
          <w:i/>
          <w:color w:themeColor="text1" w:val="000000"/>
          <w:sz w:val="20"/>
        </w:rPr>
        <w:t>6</w:t>
      </w:r>
      <w:r>
        <w:rPr>
          <w:i/>
          <w:color w:themeColor="text1" w:val="000000"/>
          <w:sz w:val="20"/>
        </w:rPr>
        <w:t xml:space="preserve">. </w:t>
      </w:r>
      <w:r>
        <w:rPr>
          <w:b/>
          <w:i/>
          <w:color w:themeColor="text1" w:val="000000"/>
          <w:sz w:val="20"/>
        </w:rPr>
        <w:t>Место приема заявок</w:t>
      </w:r>
      <w:r>
        <w:rPr>
          <w:i/>
          <w:color w:themeColor="text1" w:val="000000"/>
          <w:sz w:val="20"/>
        </w:rPr>
        <w:t xml:space="preserve"> </w:t>
      </w:r>
      <w:r>
        <w:rPr>
          <w:color w:themeColor="text1" w:val="000000"/>
          <w:sz w:val="20"/>
        </w:rPr>
        <w:t>–  на электронной торговой площадке</w:t>
      </w:r>
      <w:r>
        <w:rPr>
          <w:color w:val="000000"/>
          <w:sz w:val="20"/>
        </w:rPr>
        <w:t xml:space="preserve"> </w:t>
      </w:r>
      <w:r>
        <w:rPr>
          <w:b/>
          <w:color w:themeColor="text1" w:val="000000"/>
          <w:sz w:val="20"/>
        </w:rPr>
        <w:t>www.roseltorg.ru</w:t>
      </w:r>
      <w:r>
        <w:rPr>
          <w:color w:themeColor="text1" w:val="000000"/>
          <w:sz w:val="20"/>
        </w:rPr>
        <w:t xml:space="preserve"> </w:t>
      </w:r>
      <w:r>
        <w:rPr>
          <w:sz w:val="20"/>
        </w:rPr>
        <w:t xml:space="preserve"> </w:t>
      </w:r>
      <w:r>
        <w:rPr>
          <w:color w:val="000000"/>
          <w:sz w:val="20"/>
        </w:rPr>
        <w:t>Единая электронная торговая площадка</w:t>
      </w:r>
      <w:r>
        <w:rPr>
          <w:color w:themeColor="text1" w:val="000000"/>
          <w:sz w:val="20"/>
        </w:rPr>
        <w:t>.</w:t>
      </w:r>
    </w:p>
    <w:p>
      <w:pPr>
        <w:pStyle w:val="14"/>
        <w:widowControl w:val="false"/>
        <w:tabs>
          <w:tab w:val="clear" w:pos="708"/>
          <w:tab w:val="left" w:pos="5660" w:leader="none"/>
        </w:tabs>
        <w:ind w:firstLine="567"/>
        <w:jc w:val="both"/>
        <w:rPr>
          <w:color w:themeColor="text1" w:val="000000"/>
          <w:sz w:val="20"/>
        </w:rPr>
      </w:pPr>
      <w:r>
        <w:rPr>
          <w:b/>
          <w:i/>
          <w:color w:themeColor="text1" w:val="000000"/>
          <w:sz w:val="20"/>
        </w:rPr>
        <w:t>7.</w:t>
      </w:r>
      <w:r>
        <w:rPr>
          <w:i/>
          <w:color w:themeColor="text1" w:val="000000"/>
          <w:sz w:val="20"/>
        </w:rPr>
        <w:t xml:space="preserve"> </w:t>
      </w:r>
      <w:r>
        <w:rPr>
          <w:b/>
          <w:i/>
          <w:color w:themeColor="text1" w:val="000000"/>
          <w:sz w:val="20"/>
        </w:rPr>
        <w:t>Дата, время определения участников продажи</w:t>
      </w:r>
      <w:r>
        <w:rPr>
          <w:i/>
          <w:color w:themeColor="text1" w:val="000000"/>
          <w:sz w:val="20"/>
        </w:rPr>
        <w:t xml:space="preserve"> </w:t>
      </w:r>
      <w:r>
        <w:rPr>
          <w:color w:themeColor="text1" w:val="000000"/>
          <w:sz w:val="20"/>
        </w:rPr>
        <w:t xml:space="preserve">– </w:t>
      </w:r>
      <w:r>
        <w:rPr>
          <w:color w:themeColor="text1" w:val="000000"/>
          <w:sz w:val="20"/>
        </w:rPr>
        <w:t>04</w:t>
      </w:r>
      <w:r>
        <w:rPr>
          <w:color w:themeColor="text1" w:val="000000"/>
          <w:sz w:val="20"/>
        </w:rPr>
        <w:t xml:space="preserve"> </w:t>
      </w:r>
      <w:r>
        <w:rPr>
          <w:color w:themeColor="text1" w:val="000000"/>
          <w:sz w:val="20"/>
        </w:rPr>
        <w:t>декабря</w:t>
      </w:r>
      <w:r>
        <w:rPr>
          <w:color w:themeColor="text1" w:val="000000"/>
          <w:sz w:val="20"/>
        </w:rPr>
        <w:t xml:space="preserve"> 202</w:t>
      </w:r>
      <w:r>
        <w:rPr>
          <w:color w:themeColor="text1" w:val="000000"/>
          <w:sz w:val="20"/>
        </w:rPr>
        <w:t>4</w:t>
      </w:r>
      <w:r>
        <w:rPr>
          <w:color w:themeColor="text1" w:val="000000"/>
          <w:sz w:val="20"/>
        </w:rPr>
        <w:t xml:space="preserve"> г. в 10-00 по местному  времени.</w:t>
      </w:r>
    </w:p>
    <w:p>
      <w:pPr>
        <w:pStyle w:val="14"/>
        <w:widowControl w:val="false"/>
        <w:tabs>
          <w:tab w:val="clear" w:pos="708"/>
          <w:tab w:val="left" w:pos="5660" w:leader="none"/>
        </w:tabs>
        <w:ind w:firstLine="567"/>
        <w:jc w:val="both"/>
        <w:rPr>
          <w:color w:themeColor="text1" w:val="000000"/>
          <w:sz w:val="20"/>
        </w:rPr>
      </w:pPr>
      <w:r>
        <w:rPr>
          <w:b/>
          <w:i/>
          <w:color w:themeColor="text1" w:val="000000"/>
          <w:sz w:val="20"/>
        </w:rPr>
        <w:t>8</w:t>
      </w:r>
      <w:r>
        <w:rPr>
          <w:i/>
          <w:color w:themeColor="text1" w:val="000000"/>
          <w:sz w:val="20"/>
        </w:rPr>
        <w:t xml:space="preserve">. </w:t>
      </w:r>
      <w:r>
        <w:rPr>
          <w:b/>
          <w:i/>
          <w:color w:themeColor="text1" w:val="000000"/>
          <w:sz w:val="20"/>
        </w:rPr>
        <w:t>Дата, время и место проведения продажи в</w:t>
      </w:r>
      <w:r>
        <w:rPr>
          <w:color w:themeColor="text1" w:val="000000"/>
          <w:sz w:val="20"/>
        </w:rPr>
        <w:t xml:space="preserve"> </w:t>
      </w:r>
      <w:r>
        <w:rPr>
          <w:b/>
          <w:i/>
          <w:color w:themeColor="text1" w:val="000000"/>
          <w:sz w:val="20"/>
        </w:rPr>
        <w:t>электронной форме</w:t>
      </w:r>
      <w:r>
        <w:rPr>
          <w:i/>
          <w:color w:themeColor="text1" w:val="000000"/>
          <w:sz w:val="20"/>
        </w:rPr>
        <w:t xml:space="preserve"> </w:t>
      </w:r>
      <w:r>
        <w:rPr>
          <w:color w:themeColor="text1" w:val="000000"/>
          <w:sz w:val="20"/>
        </w:rPr>
        <w:t xml:space="preserve">– </w:t>
      </w:r>
      <w:r>
        <w:rPr>
          <w:color w:themeColor="text1" w:val="000000"/>
          <w:sz w:val="20"/>
        </w:rPr>
        <w:t>06</w:t>
      </w:r>
      <w:r>
        <w:rPr>
          <w:color w:themeColor="text1" w:val="000000"/>
          <w:sz w:val="20"/>
        </w:rPr>
        <w:t xml:space="preserve"> </w:t>
      </w:r>
      <w:r>
        <w:rPr>
          <w:color w:themeColor="text1" w:val="000000"/>
          <w:sz w:val="20"/>
        </w:rPr>
        <w:t>декабря</w:t>
      </w:r>
      <w:r>
        <w:rPr>
          <w:color w:themeColor="text1" w:val="000000"/>
          <w:sz w:val="20"/>
        </w:rPr>
        <w:t xml:space="preserve"> 202</w:t>
      </w:r>
      <w:r>
        <w:rPr>
          <w:color w:themeColor="text1" w:val="000000"/>
          <w:sz w:val="20"/>
        </w:rPr>
        <w:t>4</w:t>
      </w:r>
      <w:r>
        <w:rPr>
          <w:color w:themeColor="text1" w:val="000000"/>
          <w:sz w:val="20"/>
        </w:rPr>
        <w:t>г. в 10-00 по местному времени на электронной торговой площадке</w:t>
      </w:r>
      <w:r>
        <w:rPr>
          <w:color w:val="000000"/>
          <w:sz w:val="20"/>
        </w:rPr>
        <w:t xml:space="preserve"> </w:t>
      </w:r>
      <w:r>
        <w:rPr>
          <w:b/>
          <w:color w:themeColor="text1" w:val="000000"/>
          <w:sz w:val="20"/>
        </w:rPr>
        <w:t>www.roseltorg.ru</w:t>
      </w:r>
      <w:r>
        <w:rPr>
          <w:color w:themeColor="text1" w:val="000000"/>
          <w:sz w:val="20"/>
        </w:rPr>
        <w:t xml:space="preserve"> </w:t>
      </w:r>
      <w:r>
        <w:rPr>
          <w:sz w:val="20"/>
        </w:rPr>
        <w:t xml:space="preserve"> </w:t>
      </w:r>
      <w:r>
        <w:rPr>
          <w:color w:val="000000"/>
          <w:sz w:val="20"/>
        </w:rPr>
        <w:t>Единая электронная торговая площадка</w:t>
      </w:r>
      <w:r>
        <w:rPr>
          <w:color w:themeColor="text1" w:val="000000"/>
          <w:sz w:val="20"/>
        </w:rPr>
        <w:t>.</w:t>
      </w:r>
    </w:p>
    <w:p>
      <w:pPr>
        <w:pStyle w:val="14"/>
        <w:widowControl w:val="false"/>
        <w:tabs>
          <w:tab w:val="clear" w:pos="708"/>
          <w:tab w:val="left" w:pos="5660" w:leader="none"/>
        </w:tabs>
        <w:ind w:firstLine="567"/>
        <w:jc w:val="both"/>
        <w:rPr>
          <w:color w:themeColor="text1" w:val="000000"/>
          <w:sz w:val="20"/>
        </w:rPr>
      </w:pPr>
      <w:r>
        <w:rPr>
          <w:b/>
          <w:i/>
          <w:color w:themeColor="text1" w:val="000000"/>
          <w:sz w:val="20"/>
        </w:rPr>
        <w:t>9. Средства платежа</w:t>
      </w:r>
      <w:r>
        <w:rPr>
          <w:b/>
          <w:color w:themeColor="text1" w:val="000000"/>
          <w:sz w:val="20"/>
        </w:rPr>
        <w:t xml:space="preserve"> – </w:t>
      </w:r>
      <w:r>
        <w:rPr>
          <w:color w:themeColor="text1" w:val="000000"/>
          <w:sz w:val="20"/>
        </w:rPr>
        <w:t>денежные средства в валюте Российской Федерации (рубли).</w:t>
      </w:r>
    </w:p>
    <w:p>
      <w:pPr>
        <w:pStyle w:val="14"/>
        <w:widowControl w:val="false"/>
        <w:ind w:firstLine="567"/>
        <w:jc w:val="both"/>
        <w:rPr>
          <w:color w:themeColor="text1" w:val="000000"/>
          <w:sz w:val="20"/>
        </w:rPr>
      </w:pPr>
      <w:r>
        <w:rPr>
          <w:b/>
          <w:i/>
          <w:color w:themeColor="text1" w:val="000000"/>
          <w:sz w:val="20"/>
        </w:rPr>
        <w:t>10. Обременения имущества</w:t>
      </w:r>
      <w:r>
        <w:rPr>
          <w:color w:themeColor="text1" w:val="000000"/>
          <w:sz w:val="20"/>
        </w:rPr>
        <w:t xml:space="preserve"> – нет.</w:t>
      </w:r>
    </w:p>
    <w:p>
      <w:pPr>
        <w:pStyle w:val="Normal"/>
        <w:ind w:firstLine="567"/>
        <w:jc w:val="center"/>
        <w:rPr>
          <w:b/>
          <w:color w:themeColor="text1" w:val="000000"/>
        </w:rPr>
      </w:pPr>
      <w:r>
        <w:rPr>
          <w:b/>
          <w:color w:themeColor="text1" w:val="000000"/>
        </w:rPr>
      </w:r>
    </w:p>
    <w:p>
      <w:pPr>
        <w:pStyle w:val="Normal"/>
        <w:ind w:firstLine="567"/>
        <w:jc w:val="center"/>
        <w:rPr>
          <w:b/>
          <w:color w:themeColor="text1" w:val="000000"/>
        </w:rPr>
      </w:pPr>
      <w:r>
        <w:rPr>
          <w:b/>
          <w:color w:themeColor="text1" w:val="000000"/>
        </w:rPr>
        <w:t>II. ХАРАКТЕРИСТИКА ИМУЩЕСТВА</w:t>
      </w:r>
    </w:p>
    <w:p>
      <w:pPr>
        <w:pStyle w:val="Normal"/>
        <w:jc w:val="both"/>
        <w:rPr/>
      </w:pPr>
      <w:r>
        <w:rPr>
          <w:b/>
          <w:color w:themeColor="text1" w:val="000000"/>
        </w:rPr>
        <w:t>Лот № 1</w:t>
      </w:r>
      <w:r>
        <w:rPr>
          <w:color w:themeColor="text1" w:val="000000"/>
        </w:rPr>
        <w:t>.</w:t>
      </w:r>
      <w:r>
        <w:rPr/>
        <w:t xml:space="preserve"> Нежилое здание – МОУ «Длинновская ООШ», площадь: общая 404,10 кв.м, Литер: А, кадастровый номер 55:22:150301:183, адрес (местоположение): Омская область, Полтавский район, д. Длинное, ул. Центральная, д. 31, год постройки 1968,  фундамент бетонный ленточный, стены кирпичные, крыша железо на стропилах, деревянные по лагам,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p>
    <w:p>
      <w:pPr>
        <w:pStyle w:val="14"/>
        <w:widowControl w:val="false"/>
        <w:tabs>
          <w:tab w:val="clear" w:pos="708"/>
          <w:tab w:val="left" w:pos="5660" w:leader="none"/>
        </w:tabs>
        <w:ind w:firstLine="567"/>
        <w:jc w:val="both"/>
        <w:rPr>
          <w:color w:themeColor="text1" w:val="000000"/>
          <w:sz w:val="20"/>
        </w:rPr>
      </w:pPr>
      <w:r>
        <w:rPr>
          <w:color w:themeColor="text1" w:val="000000"/>
          <w:sz w:val="20"/>
        </w:rPr>
      </w:r>
    </w:p>
    <w:p>
      <w:pPr>
        <w:pStyle w:val="Normal"/>
        <w:ind w:firstLine="567"/>
        <w:jc w:val="both"/>
        <w:rPr>
          <w:b/>
        </w:rPr>
      </w:pPr>
      <w:r>
        <w:rPr>
          <w:b/>
        </w:rPr>
        <w:t>Начальная цена продажи (цена первоначального предложения): 123000,00 руб.</w:t>
      </w:r>
    </w:p>
    <w:p>
      <w:pPr>
        <w:pStyle w:val="Normal"/>
        <w:ind w:firstLine="567"/>
        <w:jc w:val="both"/>
        <w:rPr>
          <w:b/>
        </w:rPr>
      </w:pPr>
      <w:r>
        <w:rPr>
          <w:b/>
        </w:rPr>
        <w:t>Величина снижения цены первоначального предложения (шаг понижения): 12300,00 рублей.</w:t>
      </w:r>
    </w:p>
    <w:p>
      <w:pPr>
        <w:pStyle w:val="Normal"/>
        <w:ind w:hanging="0" w:left="567"/>
        <w:jc w:val="both"/>
        <w:rPr>
          <w:b/>
        </w:rPr>
      </w:pPr>
      <w:r>
        <w:rPr>
          <w:b/>
        </w:rPr>
        <w:t>Минимальная цена предложения (цена отсечения): 61500,00 рублей.</w:t>
      </w:r>
    </w:p>
    <w:p>
      <w:pPr>
        <w:pStyle w:val="Normal"/>
        <w:ind w:hanging="0" w:left="567"/>
        <w:jc w:val="both"/>
        <w:rPr>
          <w:b/>
        </w:rPr>
      </w:pPr>
      <w:r>
        <w:rPr>
          <w:b/>
        </w:rPr>
        <w:t>Величины повышения цен (шаг аукциона): 6150,00 рублей.</w:t>
      </w:r>
    </w:p>
    <w:p>
      <w:pPr>
        <w:pStyle w:val="Normal"/>
        <w:ind w:hanging="0" w:left="567"/>
        <w:jc w:val="both"/>
        <w:rPr>
          <w:b/>
        </w:rPr>
      </w:pPr>
      <w:r>
        <w:rPr>
          <w:b/>
        </w:rPr>
        <w:t>Сумма задатка: 12300,00 рублей.</w:t>
      </w:r>
    </w:p>
    <w:p>
      <w:pPr>
        <w:pStyle w:val="14"/>
        <w:widowControl w:val="false"/>
        <w:ind w:firstLine="567"/>
        <w:jc w:val="both"/>
        <w:rPr>
          <w:rFonts w:eastAsia="" w:eastAsiaTheme="minorEastAsia"/>
          <w:color w:themeColor="text1" w:val="000000"/>
          <w:sz w:val="20"/>
        </w:rPr>
      </w:pPr>
      <w:r>
        <w:rPr>
          <w:rFonts w:eastAsia="" w:eastAsiaTheme="minorEastAsia"/>
          <w:color w:themeColor="text1" w:val="000000"/>
          <w:sz w:val="20"/>
        </w:rPr>
      </w:r>
    </w:p>
    <w:p>
      <w:pPr>
        <w:pStyle w:val="Normal"/>
        <w:ind w:firstLine="567"/>
        <w:jc w:val="both"/>
        <w:rPr>
          <w:color w:themeColor="text1" w:val="000000"/>
        </w:rPr>
      </w:pPr>
      <w:r>
        <w:rPr>
          <w:color w:themeColor="text1" w:val="000000"/>
        </w:rPr>
        <w:t xml:space="preserve">Аукцион проводится в соответствии с Распоряжением комитета имущественных отношений Администрации Полтавского муниципального района» </w:t>
      </w:r>
      <w:r>
        <w:rPr>
          <w:color w:themeColor="text1" w:val="000000"/>
          <w:shd w:fill="auto" w:val="clear"/>
        </w:rPr>
        <w:t xml:space="preserve">от </w:t>
      </w:r>
      <w:r>
        <w:rPr>
          <w:color w:themeColor="text1" w:val="000000"/>
          <w:shd w:fill="auto" w:val="clear"/>
        </w:rPr>
        <w:t>29</w:t>
      </w:r>
      <w:r>
        <w:rPr>
          <w:color w:themeColor="text1" w:val="000000"/>
          <w:shd w:fill="auto" w:val="clear"/>
        </w:rPr>
        <w:t>.</w:t>
      </w:r>
      <w:r>
        <w:rPr>
          <w:color w:themeColor="text1" w:val="000000"/>
          <w:shd w:fill="auto" w:val="clear"/>
        </w:rPr>
        <w:t>10</w:t>
      </w:r>
      <w:r>
        <w:rPr>
          <w:color w:themeColor="text1" w:val="000000"/>
          <w:shd w:fill="auto" w:val="clear"/>
        </w:rPr>
        <w:t>.202</w:t>
      </w:r>
      <w:r>
        <w:rPr>
          <w:color w:themeColor="text1" w:val="000000"/>
          <w:shd w:fill="auto" w:val="clear"/>
        </w:rPr>
        <w:t>4</w:t>
      </w:r>
      <w:r>
        <w:rPr>
          <w:color w:themeColor="text1" w:val="000000"/>
          <w:shd w:fill="auto" w:val="clear"/>
        </w:rPr>
        <w:t xml:space="preserve"> года № </w:t>
      </w:r>
      <w:r>
        <w:rPr>
          <w:color w:themeColor="text1" w:val="000000"/>
          <w:shd w:fill="auto" w:val="clear"/>
        </w:rPr>
        <w:t>78</w:t>
      </w:r>
      <w:r>
        <w:rPr>
          <w:color w:themeColor="text1" w:val="000000"/>
          <w:shd w:fill="auto" w:val="clear"/>
        </w:rPr>
        <w:t>.</w:t>
      </w:r>
    </w:p>
    <w:p>
      <w:pPr>
        <w:pStyle w:val="14"/>
        <w:widowControl w:val="false"/>
        <w:ind w:firstLine="708"/>
        <w:jc w:val="center"/>
        <w:rPr>
          <w:b/>
          <w:sz w:val="20"/>
        </w:rPr>
      </w:pPr>
      <w:r>
        <w:rPr>
          <w:b/>
          <w:sz w:val="20"/>
        </w:rPr>
      </w:r>
    </w:p>
    <w:p>
      <w:pPr>
        <w:pStyle w:val="14"/>
        <w:widowControl w:val="false"/>
        <w:ind w:firstLine="708"/>
        <w:jc w:val="center"/>
        <w:rPr>
          <w:b/>
          <w:sz w:val="20"/>
        </w:rPr>
      </w:pPr>
      <w:r>
        <w:rPr>
          <w:b/>
          <w:sz w:val="20"/>
        </w:rPr>
        <w:t xml:space="preserve">III. Условия участия в продаже </w:t>
      </w:r>
    </w:p>
    <w:p>
      <w:pPr>
        <w:pStyle w:val="14"/>
        <w:widowControl w:val="false"/>
        <w:numPr>
          <w:ilvl w:val="0"/>
          <w:numId w:val="1"/>
        </w:numPr>
        <w:jc w:val="center"/>
        <w:rPr>
          <w:b/>
          <w:sz w:val="20"/>
        </w:rPr>
      </w:pPr>
      <w:r>
        <w:rPr>
          <w:b/>
          <w:sz w:val="20"/>
        </w:rPr>
        <w:t>Общие условия</w:t>
      </w:r>
    </w:p>
    <w:p>
      <w:pPr>
        <w:pStyle w:val="Normal"/>
        <w:suppressAutoHyphens w:val="false"/>
        <w:jc w:val="both"/>
        <w:rPr>
          <w:color w:themeColor="text1" w:val="000000"/>
        </w:rPr>
      </w:pPr>
      <w:r>
        <w:rPr>
          <w:color w:themeColor="text1" w:val="000000"/>
        </w:rPr>
        <w:t xml:space="preserve">         </w:t>
      </w:r>
      <w:r>
        <w:rPr>
          <w:color w:themeColor="text1" w:val="000000"/>
        </w:rPr>
        <w:t xml:space="preserve">Лицо, отвечающее признакам покупателя в соответствии с Федеральным законом «О приватизации государственного и муниципального имущества» от 21 декабря 2001 г. № 178-ФЗ, </w:t>
      </w:r>
      <w:r>
        <w:rPr>
          <w:lang w:eastAsia="ru-RU"/>
        </w:rPr>
        <w:t>Постановление Правительства РФ от 27.08.2012 N 860 "Об организации и проведении продажи государственного или муниципального имущества в электронной форме" (вместе с "Положением об организации и проведении продажи государственного или муниципального имущества в электронной форме")</w:t>
      </w:r>
      <w:r>
        <w:rPr>
          <w:color w:themeColor="text1" w:val="000000"/>
        </w:rPr>
        <w:t xml:space="preserve"> и желающее приобрести Имущество (далее – Претендент), обязано осуществить следующие действия:</w:t>
      </w:r>
    </w:p>
    <w:p>
      <w:pPr>
        <w:pStyle w:val="2"/>
        <w:widowControl w:val="false"/>
        <w:ind w:firstLine="567"/>
        <w:jc w:val="both"/>
        <w:rPr>
          <w:color w:themeColor="text1" w:val="000000"/>
          <w:sz w:val="20"/>
        </w:rPr>
      </w:pPr>
      <w:r>
        <w:rPr>
          <w:color w:val="000000"/>
          <w:sz w:val="20"/>
        </w:rPr>
        <w:t>- в установленном порядке зарегистрировать заявку на электронной площадке по утвержденной Продавцом форме</w:t>
      </w:r>
      <w:r>
        <w:rPr>
          <w:color w:themeColor="text1" w:val="000000"/>
          <w:sz w:val="20"/>
        </w:rPr>
        <w:t xml:space="preserve"> с полным комплектом требуемых для участия в аукционе документов</w:t>
      </w:r>
      <w:r>
        <w:rPr>
          <w:color w:val="000000"/>
          <w:sz w:val="20"/>
        </w:rPr>
        <w:t>;</w:t>
      </w:r>
    </w:p>
    <w:p>
      <w:pPr>
        <w:pStyle w:val="2"/>
        <w:widowControl w:val="false"/>
        <w:ind w:firstLine="567"/>
        <w:jc w:val="both"/>
        <w:rPr>
          <w:color w:themeColor="text1" w:val="000000"/>
          <w:sz w:val="20"/>
        </w:rPr>
      </w:pPr>
      <w:r>
        <w:rPr>
          <w:color w:themeColor="text1" w:val="000000"/>
          <w:sz w:val="20"/>
        </w:rPr>
        <w:t>- внести задаток на счет Продавца в указанном в настоящем информационном сообщении порядке.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pPr>
        <w:pStyle w:val="2"/>
        <w:widowControl w:val="false"/>
        <w:jc w:val="both"/>
        <w:rPr>
          <w:color w:themeColor="text1" w:val="000000"/>
          <w:sz w:val="20"/>
        </w:rPr>
      </w:pPr>
      <w:r>
        <w:rPr>
          <w:color w:themeColor="text1" w:val="000000"/>
          <w:sz w:val="20"/>
        </w:rPr>
        <w:t xml:space="preserve">           </w:t>
      </w:r>
      <w:r>
        <w:rPr>
          <w:color w:themeColor="text1" w:val="000000"/>
          <w:sz w:val="20"/>
        </w:rPr>
        <w:t>Ограничений участия отдельных категорий физических и юридических лиц, в том числе иностранных не установлено.</w:t>
      </w:r>
    </w:p>
    <w:p>
      <w:pPr>
        <w:pStyle w:val="2"/>
        <w:widowControl w:val="false"/>
        <w:jc w:val="both"/>
        <w:rPr>
          <w:sz w:val="20"/>
        </w:rPr>
      </w:pPr>
      <w:r>
        <w:rPr>
          <w:color w:themeColor="text1" w:val="000000"/>
          <w:sz w:val="20"/>
        </w:rPr>
        <w:t xml:space="preserve">           </w:t>
      </w:r>
      <w:r>
        <w:rPr>
          <w:sz w:val="20"/>
        </w:rPr>
        <w:t>Обязанность доказать свое право на участие в продаже возлагается на Претендента.</w:t>
      </w:r>
    </w:p>
    <w:p>
      <w:pPr>
        <w:pStyle w:val="14"/>
        <w:widowControl w:val="false"/>
        <w:ind w:firstLine="284"/>
        <w:jc w:val="both"/>
        <w:rPr>
          <w:sz w:val="20"/>
        </w:rPr>
      </w:pPr>
      <w:r>
        <w:rPr>
          <w:sz w:val="20"/>
        </w:rPr>
      </w:r>
    </w:p>
    <w:p>
      <w:pPr>
        <w:pStyle w:val="14"/>
        <w:widowControl w:val="false"/>
        <w:ind w:firstLine="284"/>
        <w:jc w:val="center"/>
        <w:rPr>
          <w:b/>
          <w:sz w:val="20"/>
        </w:rPr>
      </w:pPr>
      <w:r>
        <w:rPr>
          <w:b/>
          <w:sz w:val="20"/>
        </w:rPr>
        <w:t>2. Порядок внесения задатка и его возврата</w:t>
      </w:r>
    </w:p>
    <w:p>
      <w:pPr>
        <w:pStyle w:val="Normal"/>
        <w:jc w:val="both"/>
        <w:rPr>
          <w:color w:themeColor="text1" w:val="000000"/>
        </w:rPr>
      </w:pPr>
      <w:r>
        <w:rPr>
          <w:color w:themeColor="text1" w:val="000000"/>
        </w:rPr>
        <w:t xml:space="preserve">                       </w:t>
      </w:r>
      <w:r>
        <w:rPr>
          <w:color w:themeColor="text1" w:val="000000"/>
        </w:rPr>
        <w:t xml:space="preserve">Задаток вносится единым платежом на расчетный  счет торговой площадки  Единая электронная торговая площадка </w:t>
      </w:r>
      <w:hyperlink r:id="rId2">
        <w:r>
          <w:rPr>
            <w:color w:themeColor="text1" w:val="000000"/>
          </w:rPr>
          <w:t>www.roseltorg.ru</w:t>
        </w:r>
      </w:hyperlink>
      <w:r>
        <w:rPr>
          <w:color w:themeColor="text1" w:val="000000"/>
        </w:rPr>
        <w:t xml:space="preserve"> до окончания приема заявок и должен поступить на указанный счет не позднее даты окончания приема заявок.  </w:t>
      </w:r>
    </w:p>
    <w:p>
      <w:pPr>
        <w:pStyle w:val="Normal"/>
        <w:jc w:val="both"/>
        <w:rPr>
          <w:color w:themeColor="text1" w:val="000000"/>
        </w:rPr>
      </w:pPr>
      <w:r>
        <w:rPr>
          <w:color w:themeColor="text1" w:val="000000"/>
        </w:rPr>
        <w:t xml:space="preserve">            </w:t>
      </w:r>
      <w:r>
        <w:rPr>
          <w:color w:themeColor="text1" w:val="000000"/>
        </w:rPr>
        <w:t xml:space="preserve">Данное сообщение является публичной офертой для заключения договора о задатке в соответствии со </w:t>
      </w:r>
      <w:hyperlink r:id="rId3">
        <w:r>
          <w:rPr>
            <w:color w:themeColor="text1" w:val="000000"/>
          </w:rPr>
          <w:t>статьей 437</w:t>
        </w:r>
      </w:hyperlink>
      <w:r>
        <w:rPr>
          <w:color w:themeColor="text1" w:val="000000"/>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pPr>
        <w:pStyle w:val="2"/>
        <w:widowControl w:val="false"/>
        <w:tabs>
          <w:tab w:val="clear" w:pos="708"/>
          <w:tab w:val="left" w:pos="1400" w:leader="none"/>
          <w:tab w:val="left" w:pos="5162" w:leader="none"/>
        </w:tabs>
        <w:ind w:firstLine="567"/>
        <w:jc w:val="both"/>
        <w:rPr>
          <w:color w:themeColor="text1" w:val="000000"/>
          <w:sz w:val="20"/>
        </w:rPr>
      </w:pPr>
      <w:r>
        <w:rPr>
          <w:color w:themeColor="text1" w:val="000000"/>
          <w:sz w:val="20"/>
        </w:rPr>
        <w:t xml:space="preserve">В платежном документе в поле «Назначение платежа» должно быть указано, что данный платеж является задатком для участия в аукционе по продаже имущества. </w:t>
      </w:r>
    </w:p>
    <w:p>
      <w:pPr>
        <w:pStyle w:val="2"/>
        <w:widowControl w:val="false"/>
        <w:tabs>
          <w:tab w:val="clear" w:pos="708"/>
          <w:tab w:val="left" w:pos="1400" w:leader="none"/>
          <w:tab w:val="left" w:pos="5162" w:leader="none"/>
        </w:tabs>
        <w:ind w:firstLine="567"/>
        <w:jc w:val="both"/>
        <w:rPr>
          <w:color w:themeColor="text1" w:val="000000"/>
          <w:sz w:val="20"/>
        </w:rPr>
      </w:pPr>
      <w:r>
        <w:rPr>
          <w:color w:themeColor="text1" w:val="000000"/>
          <w:sz w:val="20"/>
        </w:rPr>
        <w:t xml:space="preserve"> </w:t>
      </w:r>
      <w:r>
        <w:rPr>
          <w:color w:themeColor="text1" w:val="000000"/>
          <w:sz w:val="20"/>
        </w:rPr>
        <w:t>Документом, подтверждающим поступление задатка на счет Продавца, является выписка со счета Продавца.</w:t>
      </w:r>
    </w:p>
    <w:p>
      <w:pPr>
        <w:pStyle w:val="2"/>
        <w:widowControl w:val="false"/>
        <w:tabs>
          <w:tab w:val="clear" w:pos="708"/>
          <w:tab w:val="left" w:pos="1400" w:leader="none"/>
          <w:tab w:val="left" w:pos="5162" w:leader="none"/>
        </w:tabs>
        <w:ind w:firstLine="567"/>
        <w:jc w:val="both"/>
        <w:rPr>
          <w:color w:themeColor="text1" w:val="000000"/>
          <w:sz w:val="20"/>
        </w:rPr>
      </w:pPr>
      <w:r>
        <w:rPr>
          <w:color w:themeColor="text1" w:val="000000"/>
          <w:sz w:val="20"/>
        </w:rPr>
        <w:t xml:space="preserve">В соответствии с Федеральным законом от 21.11.2008г. № 224-ФЗ покупатели муниципального имущества, за исключением физических лиц, не являющихся индивидуальными предпринимателями, обязаны уплатить в бюджет сумму налога на добавленную стоимость. </w:t>
      </w:r>
    </w:p>
    <w:p>
      <w:pPr>
        <w:pStyle w:val="2"/>
        <w:widowControl w:val="false"/>
        <w:ind w:firstLine="567"/>
        <w:jc w:val="both"/>
        <w:rPr>
          <w:color w:themeColor="text1" w:val="000000"/>
          <w:sz w:val="20"/>
        </w:rPr>
      </w:pPr>
      <w:r>
        <w:rPr>
          <w:color w:themeColor="text1" w:val="000000"/>
          <w:sz w:val="20"/>
        </w:rPr>
        <w:t xml:space="preserve"> </w:t>
      </w:r>
      <w:r>
        <w:rPr>
          <w:color w:themeColor="text1" w:val="000000"/>
          <w:sz w:val="20"/>
        </w:rPr>
        <w:t>Задаток возвращается в любых случаях, в течение 5 дней со дня совершения соответствующего события, кроме случаев:</w:t>
      </w:r>
    </w:p>
    <w:p>
      <w:pPr>
        <w:pStyle w:val="2"/>
        <w:widowControl w:val="false"/>
        <w:ind w:hanging="360"/>
        <w:jc w:val="both"/>
        <w:rPr>
          <w:color w:themeColor="text1" w:val="000000"/>
          <w:sz w:val="20"/>
        </w:rPr>
      </w:pPr>
      <w:r>
        <w:rPr>
          <w:color w:themeColor="text1" w:val="000000"/>
          <w:sz w:val="20"/>
        </w:rPr>
        <w:t xml:space="preserve">       </w:t>
      </w:r>
      <w:r>
        <w:rPr>
          <w:color w:themeColor="text1" w:val="000000"/>
          <w:sz w:val="20"/>
        </w:rPr>
        <w:t xml:space="preserve">-  когда Победитель аукциона не подписывает протокол по итогам аукциона; </w:t>
      </w:r>
    </w:p>
    <w:p>
      <w:pPr>
        <w:pStyle w:val="2"/>
        <w:widowControl w:val="false"/>
        <w:ind w:hanging="360"/>
        <w:jc w:val="both"/>
        <w:rPr>
          <w:color w:themeColor="text1" w:val="000000"/>
          <w:sz w:val="20"/>
        </w:rPr>
      </w:pPr>
      <w:r>
        <w:rPr>
          <w:color w:themeColor="text1" w:val="000000"/>
          <w:sz w:val="20"/>
        </w:rPr>
        <w:t xml:space="preserve">       </w:t>
      </w:r>
      <w:r>
        <w:rPr>
          <w:color w:themeColor="text1" w:val="000000"/>
          <w:sz w:val="20"/>
        </w:rPr>
        <w:t xml:space="preserve">-  когда Победитель аукциона отказывается от заключения договора купли-продажи; </w:t>
      </w:r>
    </w:p>
    <w:p>
      <w:pPr>
        <w:pStyle w:val="2"/>
        <w:widowControl w:val="false"/>
        <w:ind w:hanging="360"/>
        <w:jc w:val="both"/>
        <w:rPr>
          <w:color w:themeColor="text1" w:val="000000"/>
          <w:sz w:val="20"/>
        </w:rPr>
      </w:pPr>
      <w:r>
        <w:rPr>
          <w:color w:themeColor="text1" w:val="000000"/>
          <w:sz w:val="20"/>
        </w:rPr>
        <w:t xml:space="preserve">       </w:t>
      </w:r>
      <w:r>
        <w:rPr>
          <w:color w:themeColor="text1" w:val="000000"/>
          <w:sz w:val="20"/>
        </w:rPr>
        <w:t>-  когда Покупатель, заключив договор купли-продажи, отказывается от оплаты.</w:t>
      </w:r>
    </w:p>
    <w:p>
      <w:pPr>
        <w:pStyle w:val="14"/>
        <w:widowControl w:val="false"/>
        <w:ind w:firstLine="708"/>
        <w:jc w:val="center"/>
        <w:rPr>
          <w:b/>
          <w:color w:themeColor="text1" w:val="000000"/>
          <w:sz w:val="20"/>
        </w:rPr>
      </w:pPr>
      <w:r>
        <w:rPr>
          <w:b/>
          <w:color w:themeColor="text1" w:val="000000"/>
          <w:sz w:val="20"/>
        </w:rPr>
      </w:r>
    </w:p>
    <w:p>
      <w:pPr>
        <w:pStyle w:val="14"/>
        <w:widowControl w:val="false"/>
        <w:tabs>
          <w:tab w:val="clear" w:pos="708"/>
          <w:tab w:val="right" w:pos="9461" w:leader="none"/>
        </w:tabs>
        <w:jc w:val="both"/>
        <w:rPr>
          <w:b/>
          <w:color w:themeColor="text1" w:val="000000"/>
          <w:sz w:val="20"/>
        </w:rPr>
      </w:pPr>
      <w:r>
        <w:rPr>
          <w:sz w:val="20"/>
        </w:rPr>
        <w:tab/>
      </w:r>
    </w:p>
    <w:p>
      <w:pPr>
        <w:pStyle w:val="14"/>
        <w:widowControl w:val="false"/>
        <w:tabs>
          <w:tab w:val="clear" w:pos="708"/>
          <w:tab w:val="right" w:pos="9461" w:leader="none"/>
        </w:tabs>
        <w:jc w:val="center"/>
        <w:rPr>
          <w:b/>
          <w:i/>
          <w:i/>
          <w:color w:themeColor="text1" w:val="000000"/>
          <w:sz w:val="20"/>
        </w:rPr>
      </w:pPr>
      <w:r>
        <w:rPr>
          <w:b/>
          <w:i/>
          <w:color w:themeColor="text1" w:val="000000"/>
          <w:sz w:val="20"/>
        </w:rPr>
        <w:t>IV. Порядок регистрации на электронной площадке</w:t>
      </w:r>
    </w:p>
    <w:p>
      <w:pPr>
        <w:pStyle w:val="2"/>
        <w:widowControl w:val="false"/>
        <w:ind w:firstLine="567"/>
        <w:jc w:val="both"/>
        <w:rPr>
          <w:color w:val="000000"/>
          <w:sz w:val="20"/>
        </w:rPr>
      </w:pPr>
      <w:r>
        <w:rPr>
          <w:color w:val="000000"/>
          <w:sz w:val="20"/>
        </w:rPr>
        <w:t>Для обеспечения доступа к участию в электронном аукционе Претендентам необходимо пройти процедуру регистрации на электронной площадке.</w:t>
      </w:r>
    </w:p>
    <w:p>
      <w:pPr>
        <w:pStyle w:val="2"/>
        <w:widowControl w:val="false"/>
        <w:ind w:firstLine="567"/>
        <w:jc w:val="both"/>
        <w:rPr>
          <w:color w:val="000000"/>
          <w:sz w:val="20"/>
        </w:rPr>
      </w:pPr>
      <w:r>
        <w:rPr>
          <w:color w:val="000000"/>
          <w:sz w:val="20"/>
        </w:rPr>
        <w:t>Регистрация на электронной площадке осуществляется без взимания платы.</w:t>
      </w:r>
    </w:p>
    <w:p>
      <w:pPr>
        <w:pStyle w:val="2"/>
        <w:widowControl w:val="false"/>
        <w:ind w:firstLine="567"/>
        <w:jc w:val="both"/>
        <w:rPr>
          <w:color w:val="000000"/>
          <w:sz w:val="20"/>
        </w:rPr>
      </w:pPr>
      <w:r>
        <w:rPr>
          <w:color w:val="000000"/>
          <w:sz w:val="20"/>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pPr>
        <w:pStyle w:val="2"/>
        <w:widowControl w:val="false"/>
        <w:ind w:firstLine="567"/>
        <w:jc w:val="both"/>
        <w:rPr>
          <w:color w:val="000000"/>
          <w:sz w:val="20"/>
        </w:rPr>
      </w:pPr>
      <w:r>
        <w:rPr>
          <w:color w:val="000000"/>
          <w:sz w:val="20"/>
        </w:rPr>
        <w:t>Регистрация на электронной площадке проводится в соответствии с Регламентом электронной площадки.</w:t>
      </w:r>
    </w:p>
    <w:p>
      <w:pPr>
        <w:pStyle w:val="14"/>
        <w:widowControl w:val="false"/>
        <w:rPr>
          <w:b/>
          <w:i/>
          <w:i/>
          <w:sz w:val="20"/>
        </w:rPr>
      </w:pPr>
      <w:r>
        <w:rPr>
          <w:b/>
          <w:i/>
          <w:sz w:val="20"/>
        </w:rPr>
      </w:r>
    </w:p>
    <w:p>
      <w:pPr>
        <w:pStyle w:val="14"/>
        <w:widowControl w:val="false"/>
        <w:jc w:val="center"/>
        <w:rPr>
          <w:b/>
          <w:sz w:val="20"/>
        </w:rPr>
      </w:pPr>
      <w:r>
        <w:rPr>
          <w:b/>
          <w:sz w:val="20"/>
        </w:rPr>
        <w:t>3. Порядок подачи заявок на участие в продаже</w:t>
      </w:r>
    </w:p>
    <w:p>
      <w:pPr>
        <w:pStyle w:val="2"/>
        <w:widowControl w:val="false"/>
        <w:ind w:firstLine="567"/>
        <w:jc w:val="both"/>
        <w:rPr>
          <w:color w:themeColor="text1" w:val="000000"/>
          <w:sz w:val="20"/>
        </w:rPr>
      </w:pPr>
      <w:r>
        <w:rPr>
          <w:color w:themeColor="text1" w:val="000000"/>
          <w:sz w:val="20"/>
        </w:rPr>
        <w:t>Заявка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необходимых документов, предусмотренных Федеральным законом о приватизации.</w:t>
      </w:r>
    </w:p>
    <w:p>
      <w:pPr>
        <w:pStyle w:val="2"/>
        <w:widowControl w:val="false"/>
        <w:ind w:firstLine="567"/>
        <w:jc w:val="both"/>
        <w:rPr>
          <w:color w:themeColor="text1" w:val="000000"/>
          <w:sz w:val="20"/>
        </w:rPr>
      </w:pPr>
      <w:r>
        <w:rPr>
          <w:color w:themeColor="text1" w:val="000000"/>
          <w:sz w:val="20"/>
        </w:rPr>
        <w:t>Заявки с прилагаемыми к ним документами принимаются и регистрируются в электронных журналах заявок и прилагаемых к ним документов (в журнале приема заявок). Каждой заявке присваивается номер с указанием даты и времени приема.</w:t>
      </w:r>
    </w:p>
    <w:p>
      <w:pPr>
        <w:pStyle w:val="14"/>
        <w:widowControl w:val="false"/>
        <w:ind w:firstLine="284"/>
        <w:jc w:val="both"/>
        <w:rPr>
          <w:b/>
          <w:i/>
          <w:i/>
          <w:sz w:val="20"/>
        </w:rPr>
      </w:pPr>
      <w:r>
        <w:rPr>
          <w:b/>
          <w:i/>
          <w:sz w:val="20"/>
        </w:rPr>
      </w:r>
    </w:p>
    <w:p>
      <w:pPr>
        <w:pStyle w:val="14"/>
        <w:widowControl w:val="false"/>
        <w:jc w:val="center"/>
        <w:rPr>
          <w:b/>
          <w:sz w:val="20"/>
        </w:rPr>
      </w:pPr>
      <w:r>
        <w:rPr>
          <w:b/>
          <w:sz w:val="20"/>
        </w:rPr>
        <w:t>4. Перечень требуемых для участия в продаже документов и требования к их оформлению</w:t>
      </w:r>
    </w:p>
    <w:p>
      <w:pPr>
        <w:pStyle w:val="14"/>
        <w:widowControl w:val="false"/>
        <w:ind w:firstLine="567"/>
        <w:jc w:val="both"/>
        <w:rPr>
          <w:color w:themeColor="text1" w:val="000000"/>
          <w:sz w:val="20"/>
        </w:rPr>
      </w:pPr>
      <w:r>
        <w:rPr>
          <w:rFonts w:cs="Arial" w:ascii="Arial" w:hAnsi="Arial"/>
          <w:sz w:val="20"/>
        </w:rPr>
        <w:t xml:space="preserve"> </w:t>
      </w:r>
      <w:r>
        <w:rPr>
          <w:color w:themeColor="text1" w:val="000000"/>
          <w:sz w:val="20"/>
        </w:rPr>
        <w:t>1. Одновременно с заявкой претенденты представляют следующие документы:</w:t>
      </w:r>
    </w:p>
    <w:p>
      <w:pPr>
        <w:pStyle w:val="14"/>
        <w:widowControl w:val="false"/>
        <w:jc w:val="both"/>
        <w:rPr>
          <w:color w:themeColor="text1" w:val="000000"/>
          <w:sz w:val="20"/>
        </w:rPr>
      </w:pPr>
      <w:r>
        <w:rPr>
          <w:color w:themeColor="text1" w:val="000000"/>
          <w:sz w:val="20"/>
        </w:rPr>
        <w:t>юридические лица:</w:t>
      </w:r>
    </w:p>
    <w:p>
      <w:pPr>
        <w:pStyle w:val="Normal"/>
        <w:ind w:firstLine="540"/>
        <w:jc w:val="both"/>
        <w:rPr>
          <w:color w:themeColor="text1" w:val="000000"/>
        </w:rPr>
      </w:pPr>
      <w:r>
        <w:rPr>
          <w:color w:themeColor="text1" w:val="000000"/>
        </w:rPr>
        <w:t>заверенные копии учредительных документов;</w:t>
      </w:r>
    </w:p>
    <w:p>
      <w:pPr>
        <w:pStyle w:val="Normal"/>
        <w:ind w:firstLine="540"/>
        <w:jc w:val="both"/>
        <w:rPr>
          <w:color w:themeColor="text1" w:val="000000"/>
        </w:rPr>
      </w:pPr>
      <w:r>
        <w:rPr>
          <w:color w:themeColor="text1" w:val="000000"/>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ind w:firstLine="540"/>
        <w:jc w:val="both"/>
        <w:rPr>
          <w:color w:themeColor="text1" w:val="000000"/>
        </w:rPr>
      </w:pPr>
      <w:r>
        <w:rPr>
          <w:color w:themeColor="text1" w:val="000000"/>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ind w:firstLine="540"/>
        <w:jc w:val="both"/>
        <w:rPr>
          <w:color w:themeColor="text1" w:val="000000"/>
        </w:rPr>
      </w:pPr>
      <w:r>
        <w:rPr>
          <w:color w:themeColor="text1" w:val="000000"/>
        </w:rPr>
        <w:t xml:space="preserve">физические лица предъявляют </w:t>
      </w:r>
      <w:hyperlink r:id="rId4">
        <w:r>
          <w:rPr>
            <w:color w:themeColor="text1" w:val="000000"/>
          </w:rPr>
          <w:t>документ</w:t>
        </w:r>
      </w:hyperlink>
      <w:r>
        <w:rPr>
          <w:color w:themeColor="text1" w:val="000000"/>
        </w:rPr>
        <w:t>, удостоверяющий личность, или представляют копии всех его листов.</w:t>
      </w:r>
    </w:p>
    <w:p>
      <w:pPr>
        <w:pStyle w:val="Normal"/>
        <w:ind w:firstLine="540"/>
        <w:jc w:val="both"/>
        <w:rPr>
          <w:color w:themeColor="text1" w:val="000000"/>
        </w:rPr>
      </w:pPr>
      <w:r>
        <w:rPr>
          <w:color w:themeColor="text1" w:val="000000"/>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ind w:firstLine="540"/>
        <w:jc w:val="both"/>
        <w:rPr>
          <w:color w:themeColor="text1" w:val="000000"/>
        </w:rPr>
      </w:pPr>
      <w:r>
        <w:rPr>
          <w:color w:themeColor="text1" w:val="000000"/>
        </w:rPr>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pPr>
        <w:pStyle w:val="Normal"/>
        <w:ind w:firstLine="540"/>
        <w:jc w:val="both"/>
        <w:rPr>
          <w:color w:themeColor="text1" w:val="000000"/>
        </w:rPr>
      </w:pPr>
      <w:r>
        <w:rPr>
          <w:color w:themeColor="text1" w:val="000000"/>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pPr>
        <w:pStyle w:val="Normal"/>
        <w:ind w:firstLine="540"/>
        <w:jc w:val="both"/>
        <w:rPr>
          <w:color w:themeColor="text1" w:val="000000"/>
        </w:rPr>
      </w:pPr>
      <w:r>
        <w:rPr>
          <w:color w:themeColor="text1" w:val="000000"/>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pPr>
        <w:pStyle w:val="Normal"/>
        <w:ind w:firstLine="540"/>
        <w:jc w:val="both"/>
        <w:rPr>
          <w:color w:themeColor="text1" w:val="000000"/>
        </w:rPr>
      </w:pPr>
      <w:r>
        <w:rPr>
          <w:color w:themeColor="text1" w:val="000000"/>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pPr>
        <w:pStyle w:val="Normal"/>
        <w:ind w:firstLine="540"/>
        <w:jc w:val="both"/>
        <w:rPr>
          <w:color w:themeColor="text1" w:val="000000"/>
        </w:rPr>
      </w:pPr>
      <w:r>
        <w:rPr>
          <w:color w:themeColor="text1" w:val="000000"/>
        </w:rPr>
      </w:r>
    </w:p>
    <w:p>
      <w:pPr>
        <w:pStyle w:val="14"/>
        <w:widowControl w:val="false"/>
        <w:ind w:firstLine="709"/>
        <w:jc w:val="center"/>
        <w:rPr>
          <w:b/>
          <w:sz w:val="20"/>
        </w:rPr>
      </w:pPr>
      <w:r>
        <w:rPr>
          <w:b/>
          <w:sz w:val="20"/>
          <w:lang w:val="en-US"/>
        </w:rPr>
        <w:t>V</w:t>
      </w:r>
      <w:r>
        <w:rPr>
          <w:b/>
          <w:sz w:val="20"/>
        </w:rPr>
        <w:t>. Определение участников продажи</w:t>
      </w:r>
    </w:p>
    <w:p>
      <w:pPr>
        <w:pStyle w:val="Normal"/>
        <w:suppressAutoHyphens w:val="false"/>
        <w:ind w:firstLine="567"/>
        <w:jc w:val="both"/>
        <w:rPr>
          <w:lang w:eastAsia="ru-RU"/>
        </w:rPr>
      </w:pPr>
      <w:r>
        <w:rPr>
          <w:lang w:eastAsia="ru-RU"/>
        </w:rPr>
        <w:t>Для участия в продаже имущества посредством публичного предложения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продаже имущества посредством публичного предложения.</w:t>
      </w:r>
    </w:p>
    <w:p>
      <w:pPr>
        <w:pStyle w:val="Normal"/>
        <w:suppressAutoHyphens w:val="false"/>
        <w:ind w:firstLine="567"/>
        <w:jc w:val="both"/>
        <w:rPr>
          <w:lang w:eastAsia="ru-RU"/>
        </w:rPr>
      </w:pPr>
      <w:r>
        <w:rPr>
          <w:lang w:eastAsia="ru-RU"/>
        </w:rPr>
        <w:t>В день определения участников, указанный в информационном сообщении о продаже имущества посредством публичного предложения, оператор электронной площадки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pPr>
        <w:pStyle w:val="Normal"/>
        <w:suppressAutoHyphens w:val="false"/>
        <w:ind w:firstLine="567"/>
        <w:jc w:val="both"/>
        <w:rPr>
          <w:lang w:eastAsia="ru-RU"/>
        </w:rPr>
      </w:pPr>
      <w:r>
        <w:rPr>
          <w:lang w:eastAsia="ru-RU"/>
        </w:rPr>
        <w:t>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имущества посредством публичного предложения, с указанием оснований отказа.</w:t>
      </w:r>
    </w:p>
    <w:p>
      <w:pPr>
        <w:pStyle w:val="Normal"/>
        <w:suppressAutoHyphens w:val="false"/>
        <w:ind w:firstLine="567"/>
        <w:jc w:val="both"/>
        <w:rPr>
          <w:lang w:eastAsia="ru-RU"/>
        </w:rPr>
      </w:pPr>
      <w:r>
        <w:rPr>
          <w:lang w:eastAsia="ru-RU"/>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w:t>
      </w:r>
    </w:p>
    <w:p>
      <w:pPr>
        <w:pStyle w:val="Normal"/>
        <w:suppressAutoHyphens w:val="false"/>
        <w:jc w:val="both"/>
        <w:rPr>
          <w:lang w:eastAsia="ru-RU"/>
        </w:rPr>
      </w:pPr>
      <w:r>
        <w:rPr>
          <w:lang w:eastAsia="ru-RU"/>
        </w:rPr>
        <w:t>Информация о претендентах, не допущенных к участию в продаже имущества посредством публичного предложения, размещается в открытой части электронной площадки, на официальном сайте в сети "Интернет"</w:t>
      </w:r>
    </w:p>
    <w:p>
      <w:pPr>
        <w:pStyle w:val="14"/>
        <w:widowControl w:val="false"/>
        <w:tabs>
          <w:tab w:val="clear" w:pos="708"/>
          <w:tab w:val="left" w:pos="506" w:leader="none"/>
        </w:tabs>
        <w:ind w:firstLine="567"/>
        <w:jc w:val="both"/>
        <w:rPr>
          <w:sz w:val="20"/>
        </w:rPr>
      </w:pPr>
      <w:r>
        <w:rPr>
          <w:sz w:val="20"/>
        </w:rPr>
        <w:t>Претендент не допускается к участию в продаже по следующим основаниям:</w:t>
      </w:r>
    </w:p>
    <w:p>
      <w:pPr>
        <w:pStyle w:val="14"/>
        <w:widowControl w:val="false"/>
        <w:tabs>
          <w:tab w:val="clear" w:pos="708"/>
          <w:tab w:val="left" w:pos="506" w:leader="none"/>
        </w:tabs>
        <w:jc w:val="both"/>
        <w:rPr>
          <w:sz w:val="20"/>
        </w:rPr>
      </w:pPr>
      <w:r>
        <w:rPr>
          <w:sz w:val="20"/>
        </w:rPr>
        <w:t xml:space="preserve">          </w:t>
      </w:r>
      <w:r>
        <w:rPr>
          <w:sz w:val="20"/>
        </w:rPr>
        <w:t>1) представленные документы не подтверждают право претендента быть покупателем в соответствии с законодательством Российской Федерации;</w:t>
      </w:r>
    </w:p>
    <w:p>
      <w:pPr>
        <w:pStyle w:val="Normal"/>
        <w:jc w:val="both"/>
        <w:rPr/>
      </w:pPr>
      <w:r>
        <w:rPr/>
        <w:t xml:space="preserve">          </w:t>
      </w:r>
      <w:r>
        <w:rPr/>
        <w:t>2) представлены не все документы в соответствии с перечнем, указанным в информационном сообщении о продаже государственного имущества, либо оформление указанных документов не соответствует законодательству Российской Федерации;</w:t>
      </w:r>
    </w:p>
    <w:p>
      <w:pPr>
        <w:pStyle w:val="14"/>
        <w:widowControl w:val="false"/>
        <w:tabs>
          <w:tab w:val="clear" w:pos="708"/>
          <w:tab w:val="left" w:pos="506" w:leader="none"/>
        </w:tabs>
        <w:jc w:val="both"/>
        <w:rPr>
          <w:sz w:val="20"/>
        </w:rPr>
      </w:pPr>
      <w:r>
        <w:rPr>
          <w:sz w:val="20"/>
        </w:rPr>
        <w:t xml:space="preserve">         </w:t>
      </w:r>
      <w:r>
        <w:rPr>
          <w:sz w:val="20"/>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pPr>
        <w:pStyle w:val="14"/>
        <w:widowControl w:val="false"/>
        <w:tabs>
          <w:tab w:val="clear" w:pos="708"/>
          <w:tab w:val="left" w:pos="506" w:leader="none"/>
        </w:tabs>
        <w:jc w:val="both"/>
        <w:rPr>
          <w:sz w:val="20"/>
        </w:rPr>
      </w:pPr>
      <w:r>
        <w:rPr>
          <w:sz w:val="20"/>
        </w:rPr>
        <w:t xml:space="preserve">         </w:t>
      </w:r>
      <w:r>
        <w:rPr>
          <w:sz w:val="20"/>
        </w:rPr>
        <w:t>4) поступление в установленный срок задатка на счет, указанный в настоящем информационном сообщении, не подтверждено.</w:t>
      </w:r>
    </w:p>
    <w:p>
      <w:pPr>
        <w:pStyle w:val="14"/>
        <w:widowControl w:val="false"/>
        <w:tabs>
          <w:tab w:val="clear" w:pos="708"/>
          <w:tab w:val="left" w:pos="506" w:leader="none"/>
        </w:tabs>
        <w:ind w:firstLine="142"/>
        <w:jc w:val="both"/>
        <w:rPr>
          <w:sz w:val="20"/>
        </w:rPr>
      </w:pPr>
      <w:r>
        <w:rPr>
          <w:sz w:val="20"/>
        </w:rPr>
        <w:t xml:space="preserve">        </w:t>
      </w:r>
      <w:r>
        <w:rPr>
          <w:sz w:val="20"/>
        </w:rPr>
        <w:t>Настоящий перечень оснований отказа Претенденту в участии в продаже является исчерпывающим.</w:t>
      </w:r>
    </w:p>
    <w:p>
      <w:pPr>
        <w:pStyle w:val="14"/>
        <w:widowControl w:val="false"/>
        <w:tabs>
          <w:tab w:val="clear" w:pos="708"/>
          <w:tab w:val="left" w:pos="506" w:leader="none"/>
        </w:tabs>
        <w:ind w:firstLine="567"/>
        <w:jc w:val="both"/>
        <w:rPr>
          <w:sz w:val="20"/>
        </w:rPr>
      </w:pPr>
      <w:r>
        <w:rPr>
          <w:sz w:val="20"/>
        </w:rPr>
        <w:t>Претендент  приобретает статус участника продажи с момента оформления Продавцом  протокола о признании Претендентов участниками продажи.</w:t>
      </w:r>
    </w:p>
    <w:p>
      <w:pPr>
        <w:pStyle w:val="14"/>
        <w:widowControl w:val="false"/>
        <w:tabs>
          <w:tab w:val="clear" w:pos="708"/>
          <w:tab w:val="left" w:pos="284" w:leader="none"/>
        </w:tabs>
        <w:jc w:val="center"/>
        <w:rPr>
          <w:b/>
          <w:sz w:val="20"/>
        </w:rPr>
      </w:pPr>
      <w:r>
        <w:rPr>
          <w:b/>
          <w:sz w:val="20"/>
        </w:rPr>
      </w:r>
    </w:p>
    <w:p>
      <w:pPr>
        <w:pStyle w:val="14"/>
        <w:widowControl w:val="false"/>
        <w:tabs>
          <w:tab w:val="clear" w:pos="708"/>
          <w:tab w:val="left" w:pos="284" w:leader="none"/>
        </w:tabs>
        <w:jc w:val="center"/>
        <w:rPr>
          <w:b/>
          <w:sz w:val="20"/>
        </w:rPr>
      </w:pPr>
      <w:r>
        <w:rPr>
          <w:b/>
          <w:sz w:val="20"/>
          <w:lang w:val="en-US"/>
        </w:rPr>
        <w:t>VI</w:t>
      </w:r>
      <w:r>
        <w:rPr>
          <w:b/>
          <w:sz w:val="20"/>
        </w:rPr>
        <w:t>. Порядок продажи посредством публичного предложения</w:t>
      </w:r>
    </w:p>
    <w:p>
      <w:pPr>
        <w:pStyle w:val="Normal"/>
        <w:suppressAutoHyphens w:val="false"/>
        <w:ind w:firstLine="567"/>
        <w:jc w:val="both"/>
        <w:rPr>
          <w:lang w:eastAsia="ru-RU"/>
        </w:rPr>
      </w:pPr>
      <w:r>
        <w:rPr>
          <w:lang w:eastAsia="ru-RU"/>
        </w:rPr>
        <w:t>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pPr>
        <w:pStyle w:val="Normal"/>
        <w:suppressAutoHyphens w:val="false"/>
        <w:ind w:firstLine="540"/>
        <w:jc w:val="both"/>
        <w:rPr>
          <w:lang w:eastAsia="ru-RU"/>
        </w:rPr>
      </w:pPr>
      <w:r>
        <w:rPr>
          <w:lang w:eastAsia="ru-RU"/>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w:t>
      </w:r>
    </w:p>
    <w:p>
      <w:pPr>
        <w:pStyle w:val="Normal"/>
        <w:suppressAutoHyphens w:val="false"/>
        <w:ind w:firstLine="567"/>
        <w:jc w:val="both"/>
        <w:rPr>
          <w:lang w:eastAsia="ru-RU"/>
        </w:rPr>
      </w:pPr>
      <w:r>
        <w:rPr>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pPr>
        <w:pStyle w:val="Normal"/>
        <w:suppressAutoHyphens w:val="false"/>
        <w:ind w:firstLine="567"/>
        <w:jc w:val="both"/>
        <w:rPr>
          <w:lang w:eastAsia="ru-RU"/>
        </w:rPr>
      </w:pPr>
      <w:r>
        <w:rPr>
          <w:lang w:eastAsia="ru-RU"/>
        </w:rPr>
        <w:t xml:space="preserve">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w:t>
      </w:r>
      <w:r>
        <w:rPr/>
        <w:t>правилам проведения аукциона, предусматривающим открытую форму подачи предложений о цене имущества</w:t>
      </w:r>
      <w:r>
        <w:rPr>
          <w:lang w:eastAsia="ru-RU"/>
        </w:rPr>
        <w:t>.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pPr>
        <w:pStyle w:val="Normal"/>
        <w:suppressAutoHyphens w:val="false"/>
        <w:ind w:firstLine="540"/>
        <w:jc w:val="both"/>
        <w:rPr>
          <w:lang w:eastAsia="ru-RU"/>
        </w:rPr>
      </w:pPr>
      <w:r>
        <w:rPr>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pPr>
        <w:pStyle w:val="Normal"/>
        <w:ind w:firstLine="540"/>
        <w:jc w:val="both"/>
        <w:rPr/>
      </w:pPr>
      <w:r>
        <w:rPr/>
        <w:t>Продажа посредством публичного предложения, в которой принял участие только один участник, признается несостоявшейся.</w:t>
      </w:r>
    </w:p>
    <w:p>
      <w:pPr>
        <w:pStyle w:val="Normal"/>
        <w:ind w:firstLine="540"/>
        <w:jc w:val="both"/>
        <w:rPr/>
      </w:pPr>
      <w:r>
        <w:rPr/>
        <w:t>Суммы задатков возвращаются участникам продажи посредством публичного предложения, за исключением победителя такой продажи, в течение пяти дней с даты подведения ее итогов.</w:t>
      </w:r>
    </w:p>
    <w:p>
      <w:pPr>
        <w:pStyle w:val="14"/>
        <w:widowControl w:val="false"/>
        <w:tabs>
          <w:tab w:val="clear" w:pos="708"/>
          <w:tab w:val="left" w:pos="284" w:leader="none"/>
        </w:tabs>
        <w:spacing w:before="240" w:after="0"/>
        <w:jc w:val="center"/>
        <w:rPr>
          <w:b/>
          <w:sz w:val="20"/>
        </w:rPr>
      </w:pPr>
      <w:r>
        <w:rPr>
          <w:b/>
          <w:sz w:val="20"/>
          <w:lang w:val="en-US"/>
        </w:rPr>
        <w:t>VII</w:t>
      </w:r>
      <w:r>
        <w:rPr>
          <w:b/>
          <w:sz w:val="20"/>
        </w:rPr>
        <w:t xml:space="preserve">. Порядок заключения договора купли-продажи </w:t>
      </w:r>
    </w:p>
    <w:p>
      <w:pPr>
        <w:pStyle w:val="Normal"/>
        <w:suppressAutoHyphens w:val="false"/>
        <w:ind w:firstLine="567"/>
        <w:jc w:val="both"/>
        <w:rPr>
          <w:lang w:eastAsia="ru-RU"/>
        </w:rPr>
      </w:pPr>
      <w:r>
        <w:rPr>
          <w:lang w:eastAsia="ru-RU"/>
        </w:rPr>
        <w:t>Не позднее чем через 5 рабочих дней с даты проведения продажи с победителем заключается договор купли-продажи имущества.</w:t>
      </w:r>
    </w:p>
    <w:p>
      <w:pPr>
        <w:pStyle w:val="Normal"/>
        <w:suppressAutoHyphens w:val="false"/>
        <w:ind w:firstLine="567"/>
        <w:jc w:val="both"/>
        <w:rPr>
          <w:lang w:eastAsia="ru-RU"/>
        </w:rPr>
      </w:pPr>
      <w:r>
        <w:rPr>
          <w:lang w:eastAsia="ru-RU"/>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suppressAutoHyphens w:val="false"/>
        <w:ind w:firstLine="540"/>
        <w:jc w:val="both"/>
        <w:rPr/>
      </w:pPr>
      <w:r>
        <w:rPr/>
        <w:t xml:space="preserve"> </w:t>
      </w:r>
      <w:r>
        <w:rPr/>
        <w:t>Оплата Имущества Покупателем производится в порядке и сроки, которые установлены  договором купли-продажи Задаток, перечисленный Покупателем для участия в аукционе, засчитывается в счет оплаты приобретаемого Имущества.</w:t>
      </w:r>
    </w:p>
    <w:p>
      <w:pPr>
        <w:pStyle w:val="Normal"/>
        <w:suppressAutoHyphens w:val="false"/>
        <w:ind w:firstLine="567"/>
        <w:jc w:val="both"/>
        <w:rPr>
          <w:lang w:eastAsia="ru-RU"/>
        </w:rPr>
      </w:pPr>
      <w:r>
        <w:rPr>
          <w:lang w:eastAsia="ru-RU"/>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pPr>
        <w:pStyle w:val="Normal"/>
        <w:suppressAutoHyphens w:val="false"/>
        <w:ind w:firstLine="540"/>
        <w:jc w:val="both"/>
        <w:rPr>
          <w:lang w:eastAsia="ru-RU"/>
        </w:rPr>
      </w:pPr>
      <w:r>
        <w:rPr>
          <w:lang w:eastAsia="ru-RU"/>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p>
    <w:p>
      <w:pPr>
        <w:pStyle w:val="Normal"/>
        <w:suppressAutoHyphens w:val="false"/>
        <w:ind w:firstLine="540"/>
        <w:jc w:val="both"/>
        <w:rPr/>
      </w:pPr>
      <w:r>
        <w:rPr/>
      </w:r>
    </w:p>
    <w:p>
      <w:pPr>
        <w:pStyle w:val="14"/>
        <w:widowControl w:val="false"/>
        <w:jc w:val="center"/>
        <w:rPr>
          <w:b/>
          <w:sz w:val="20"/>
        </w:rPr>
      </w:pPr>
      <w:r>
        <w:rPr>
          <w:b/>
          <w:sz w:val="20"/>
          <w:lang w:val="en-US"/>
        </w:rPr>
        <w:t>VIII</w:t>
      </w:r>
      <w:r>
        <w:rPr>
          <w:b/>
          <w:sz w:val="20"/>
        </w:rPr>
        <w:t xml:space="preserve">. Переход права собственности </w:t>
      </w:r>
    </w:p>
    <w:p>
      <w:pPr>
        <w:pStyle w:val="14"/>
        <w:widowControl w:val="false"/>
        <w:ind w:firstLine="720"/>
        <w:jc w:val="both"/>
        <w:rPr>
          <w:sz w:val="20"/>
        </w:rPr>
      </w:pPr>
      <w:r>
        <w:rPr>
          <w:sz w:val="20"/>
        </w:rPr>
        <w:t>Право собственности на Имущество переходит к покупателю со дня государственной регистрации перехода права собственности. Расходы по государственной регистрации перехода права собственности на Имущество в полном объеме  возлагаются на покупателя.</w:t>
      </w:r>
    </w:p>
    <w:p>
      <w:pPr>
        <w:pStyle w:val="14"/>
        <w:widowControl w:val="false"/>
        <w:tabs>
          <w:tab w:val="clear" w:pos="708"/>
          <w:tab w:val="left" w:pos="567" w:leader="none"/>
        </w:tabs>
        <w:jc w:val="center"/>
        <w:rPr>
          <w:b/>
          <w:sz w:val="20"/>
        </w:rPr>
      </w:pPr>
      <w:r>
        <w:rPr>
          <w:b/>
          <w:sz w:val="20"/>
          <w:lang w:val="en-US"/>
        </w:rPr>
        <w:t>IX</w:t>
      </w:r>
      <w:r>
        <w:rPr>
          <w:b/>
          <w:sz w:val="20"/>
        </w:rPr>
        <w:t>. Заключительные положения</w:t>
      </w:r>
    </w:p>
    <w:p>
      <w:pPr>
        <w:pStyle w:val="BodyTextIndent"/>
        <w:ind w:hanging="0"/>
        <w:jc w:val="both"/>
        <w:rPr>
          <w:sz w:val="20"/>
        </w:rPr>
      </w:pPr>
      <w:r>
        <w:rPr>
          <w:sz w:val="20"/>
        </w:rPr>
        <w:tab/>
        <w:t>Все иные вопросы, касающиеся проведения продажи имущества, не нашедшие отражения в настоящем информационном сообщении, регулируются действующим законодательством Российской Федерации.</w:t>
      </w:r>
    </w:p>
    <w:p>
      <w:pPr>
        <w:pStyle w:val="BodyTextIndent"/>
        <w:ind w:hanging="0"/>
        <w:jc w:val="both"/>
        <w:rPr>
          <w:sz w:val="20"/>
        </w:rPr>
      </w:pPr>
      <w:r>
        <w:rPr>
          <w:sz w:val="20"/>
        </w:rPr>
        <w:t xml:space="preserve">Информация о продаже размещена на  сайте продавца </w:t>
      </w:r>
      <w:hyperlink r:id="rId5">
        <w:r>
          <w:rPr>
            <w:rStyle w:val="Hyperlink"/>
            <w:rFonts w:eastAsia="Times New Roman" w:cs="Times New Roman"/>
            <w:color w:val="auto"/>
            <w:kern w:val="0"/>
            <w:sz w:val="20"/>
            <w:szCs w:val="20"/>
            <w:u w:val="none"/>
            <w:lang w:val="ru-RU" w:eastAsia="ar-SA" w:bidi="ar-SA"/>
          </w:rPr>
          <w:t>www</w:t>
        </w:r>
      </w:hyperlink>
      <w:r>
        <w:rPr>
          <w:rStyle w:val="Hyperlink"/>
          <w:rFonts w:eastAsia="Times New Roman" w:cs="Times New Roman"/>
          <w:color w:val="auto"/>
          <w:kern w:val="0"/>
          <w:sz w:val="20"/>
          <w:szCs w:val="20"/>
          <w:lang w:val="ru-RU" w:eastAsia="ar-SA" w:bidi="ar-SA"/>
        </w:rPr>
        <w:t>.</w:t>
      </w:r>
      <w:r>
        <w:rPr>
          <w:rStyle w:val="Hyperlink"/>
          <w:rFonts w:eastAsia="Times New Roman" w:cs="Times New Roman"/>
          <w:color w:val="auto"/>
          <w:kern w:val="0"/>
          <w:sz w:val="20"/>
          <w:szCs w:val="20"/>
          <w:u w:val="none"/>
          <w:lang w:val="ru-RU" w:eastAsia="ar-SA" w:bidi="ar-SA"/>
        </w:rPr>
        <w:t>gosweb.gosuslugi.ru</w:t>
      </w:r>
      <w:r>
        <w:rPr>
          <w:rFonts w:eastAsia="Times New Roman" w:cs="Times New Roman"/>
          <w:color w:val="auto"/>
          <w:kern w:val="0"/>
          <w:sz w:val="20"/>
          <w:szCs w:val="20"/>
          <w:lang w:val="ru-RU" w:eastAsia="ar-SA" w:bidi="ar-SA"/>
        </w:rPr>
        <w:t xml:space="preserve"> и на сайте </w:t>
      </w:r>
      <w:hyperlink r:id="rId6">
        <w:r>
          <w:rPr>
            <w:rFonts w:eastAsia="Times New Roman" w:cs="Times New Roman"/>
            <w:color w:val="auto"/>
            <w:kern w:val="0"/>
            <w:sz w:val="20"/>
            <w:szCs w:val="20"/>
            <w:lang w:val="ru-RU" w:eastAsia="ar-SA" w:bidi="ar-SA"/>
          </w:rPr>
          <w:t>www.torgi.gov.ru</w:t>
        </w:r>
      </w:hyperlink>
      <w:r>
        <w:rPr>
          <w:rFonts w:eastAsia="Times New Roman" w:cs="Times New Roman"/>
          <w:color w:val="auto"/>
          <w:kern w:val="0"/>
          <w:sz w:val="20"/>
          <w:szCs w:val="20"/>
          <w:lang w:val="ru-RU" w:eastAsia="ar-SA" w:bidi="ar-SA"/>
        </w:rPr>
        <w:t xml:space="preserve">, на сайте www.roseltorg.ru. </w:t>
      </w:r>
    </w:p>
    <w:p>
      <w:pPr>
        <w:pStyle w:val="BodyTextIndent"/>
        <w:ind w:hanging="0"/>
        <w:jc w:val="both"/>
        <w:rPr>
          <w:sz w:val="20"/>
        </w:rPr>
      </w:pPr>
      <w:r>
        <w:rPr>
          <w:sz w:val="20"/>
        </w:rPr>
      </w:r>
    </w:p>
    <w:p>
      <w:pPr>
        <w:pStyle w:val="Normal"/>
        <w:rPr/>
      </w:pPr>
      <w:r>
        <w:rPr/>
      </w:r>
    </w:p>
    <w:tbl>
      <w:tblPr>
        <w:tblW w:w="10138" w:type="dxa"/>
        <w:jc w:val="left"/>
        <w:tblInd w:w="0" w:type="dxa"/>
        <w:tblLayout w:type="fixed"/>
        <w:tblCellMar>
          <w:top w:w="0" w:type="dxa"/>
          <w:left w:w="108" w:type="dxa"/>
          <w:bottom w:w="0" w:type="dxa"/>
          <w:right w:w="108" w:type="dxa"/>
        </w:tblCellMar>
        <w:tblLook w:val="0000"/>
      </w:tblPr>
      <w:tblGrid>
        <w:gridCol w:w="5069"/>
        <w:gridCol w:w="5068"/>
      </w:tblGrid>
      <w:tr>
        <w:trPr/>
        <w:tc>
          <w:tcPr>
            <w:tcW w:w="5069" w:type="dxa"/>
            <w:tcBorders/>
          </w:tcPr>
          <w:p>
            <w:pPr>
              <w:pStyle w:val="Normal1"/>
              <w:widowControl w:val="false"/>
              <w:jc w:val="right"/>
              <w:rPr>
                <w:b/>
                <w:sz w:val="20"/>
              </w:rPr>
            </w:pPr>
            <w:r>
              <w:rPr>
                <w:b/>
                <w:sz w:val="20"/>
              </w:rPr>
            </w:r>
          </w:p>
        </w:tc>
        <w:tc>
          <w:tcPr>
            <w:tcW w:w="5068" w:type="dxa"/>
            <w:tcBorders/>
          </w:tcPr>
          <w:p>
            <w:pPr>
              <w:pStyle w:val="Normal1"/>
              <w:widowControl w:val="false"/>
              <w:tabs>
                <w:tab w:val="clear" w:pos="708"/>
                <w:tab w:val="right" w:pos="3884" w:leader="none"/>
              </w:tabs>
              <w:rPr>
                <w:b/>
                <w:sz w:val="20"/>
              </w:rPr>
            </w:pPr>
            <w:r>
              <w:rPr>
                <w:b/>
                <w:sz w:val="20"/>
              </w:rPr>
            </w:r>
          </w:p>
        </w:tc>
      </w:tr>
    </w:tbl>
    <w:p>
      <w:pPr>
        <w:pStyle w:val="Normal1"/>
        <w:widowControl w:val="false"/>
        <w:tabs>
          <w:tab w:val="clear" w:pos="708"/>
          <w:tab w:val="left" w:pos="2998" w:leader="none"/>
          <w:tab w:val="left" w:pos="3234" w:leader="none"/>
          <w:tab w:val="right" w:pos="3884" w:leader="none"/>
        </w:tabs>
        <w:ind w:firstLine="720"/>
        <w:jc w:val="both"/>
        <w:rPr>
          <w:sz w:val="20"/>
        </w:rPr>
      </w:pPr>
      <w:r>
        <w:rPr>
          <w:sz w:val="20"/>
        </w:rPr>
      </w:r>
    </w:p>
    <w:p>
      <w:pPr>
        <w:pStyle w:val="Normal1"/>
        <w:widowControl w:val="false"/>
        <w:tabs>
          <w:tab w:val="clear" w:pos="708"/>
          <w:tab w:val="left" w:pos="2998" w:leader="none"/>
          <w:tab w:val="left" w:pos="3234" w:leader="none"/>
          <w:tab w:val="right" w:pos="3884" w:leader="none"/>
        </w:tabs>
        <w:ind w:firstLine="720"/>
        <w:jc w:val="both"/>
        <w:rPr>
          <w:sz w:val="20"/>
          <w:u w:val="single"/>
        </w:rPr>
      </w:pPr>
      <w:r>
        <w:rPr>
          <w:sz w:val="20"/>
          <w:u w:val="single"/>
        </w:rPr>
      </w:r>
    </w:p>
    <w:p>
      <w:pPr>
        <w:pStyle w:val="Normal1"/>
        <w:widowControl w:val="false"/>
        <w:jc w:val="center"/>
        <w:rPr>
          <w:b/>
          <w:sz w:val="20"/>
        </w:rPr>
      </w:pPr>
      <w:r>
        <w:rPr>
          <w:b/>
          <w:sz w:val="20"/>
        </w:rPr>
      </w:r>
    </w:p>
    <w:sectPr>
      <w:type w:val="nextPage"/>
      <w:pgSz w:w="11906" w:h="16838"/>
      <w:pgMar w:left="1134" w:right="851" w:gutter="0" w:header="0" w:top="426" w:footer="0" w:bottom="426"/>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ymbol">
    <w:charset w:val="01"/>
    <w:family w:val="roman"/>
    <w:pitch w:val="variable"/>
  </w:font>
  <w:font w:name="Arial">
    <w:charset w:val="01"/>
    <w:family w:val="roman"/>
    <w:pitch w:val="variable"/>
  </w:font>
  <w:font w:name="Tahoma">
    <w:charset w:val="01"/>
    <w:family w:val="roman"/>
    <w:pitch w:val="variable"/>
  </w:font>
  <w:font w:name="Courier New">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080"/>
        </w:tabs>
        <w:ind w:left="1080" w:hanging="360"/>
      </w:pPr>
      <w:rPr/>
    </w:lvl>
    <w:lvl w:ilvl="1">
      <w:start w:val="1"/>
      <w:numFmt w:val="bullet"/>
      <w:lvlText w:val=""/>
      <w:lvlJc w:val="left"/>
      <w:pPr>
        <w:tabs>
          <w:tab w:val="num" w:pos="1800"/>
        </w:tabs>
        <w:ind w:left="1800" w:hanging="360"/>
      </w:pPr>
      <w:rPr>
        <w:rFonts w:ascii="Symbol" w:hAnsi="Symbol" w:cs="Symbol" w:hint="default"/>
      </w:rPr>
    </w:lvl>
    <w:lvl w:ilvl="2">
      <w:start w:val="1"/>
      <w:numFmt w:val="lowerRoman"/>
      <w:lvlText w:val="%3."/>
      <w:lvlJc w:val="left"/>
      <w:pPr>
        <w:tabs>
          <w:tab w:val="num" w:pos="2520"/>
        </w:tabs>
        <w:ind w:left="2520" w:hanging="180"/>
      </w:pPr>
      <w:rPr/>
    </w:lvl>
    <w:lvl w:ilvl="3">
      <w:start w:val="1"/>
      <w:numFmt w:val="decimal"/>
      <w:lvlText w:val="%4."/>
      <w:lvlJc w:val="left"/>
      <w:pPr>
        <w:tabs>
          <w:tab w:val="num" w:pos="3240"/>
        </w:tabs>
        <w:ind w:left="3240" w:hanging="360"/>
      </w:pPr>
      <w:rPr/>
    </w:lvl>
    <w:lvl w:ilvl="4">
      <w:start w:val="1"/>
      <w:numFmt w:val="lowerLetter"/>
      <w:lvlText w:val="%5."/>
      <w:lvlJc w:val="left"/>
      <w:pPr>
        <w:tabs>
          <w:tab w:val="num" w:pos="3960"/>
        </w:tabs>
        <w:ind w:left="3960" w:hanging="360"/>
      </w:pPr>
      <w:rPr/>
    </w:lvl>
    <w:lvl w:ilvl="5">
      <w:start w:val="1"/>
      <w:numFmt w:val="lowerRoman"/>
      <w:lvlText w:val="%6."/>
      <w:lvlJc w:val="left"/>
      <w:pPr>
        <w:tabs>
          <w:tab w:val="num" w:pos="4680"/>
        </w:tabs>
        <w:ind w:left="4680" w:hanging="180"/>
      </w:pPr>
      <w:rPr/>
    </w:lvl>
    <w:lvl w:ilvl="6">
      <w:start w:val="1"/>
      <w:numFmt w:val="decimal"/>
      <w:lvlText w:val="%7."/>
      <w:lvlJc w:val="left"/>
      <w:pPr>
        <w:tabs>
          <w:tab w:val="num" w:pos="5400"/>
        </w:tabs>
        <w:ind w:left="5400" w:hanging="360"/>
      </w:pPr>
      <w:rPr/>
    </w:lvl>
    <w:lvl w:ilvl="7">
      <w:start w:val="1"/>
      <w:numFmt w:val="lowerLetter"/>
      <w:lvlText w:val="%8."/>
      <w:lvlJc w:val="left"/>
      <w:pPr>
        <w:tabs>
          <w:tab w:val="num" w:pos="6120"/>
        </w:tabs>
        <w:ind w:left="6120" w:hanging="360"/>
      </w:pPr>
      <w:rPr/>
    </w:lvl>
    <w:lvl w:ilvl="8">
      <w:start w:val="1"/>
      <w:numFmt w:val="lowerRoman"/>
      <w:lvlText w:val="%9."/>
      <w:lvlJc w:val="left"/>
      <w:pPr>
        <w:tabs>
          <w:tab w:val="num" w:pos="6840"/>
        </w:tabs>
        <w:ind w:left="684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14263"/>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ar-SA" w:bidi="ar-SA"/>
    </w:rPr>
  </w:style>
  <w:style w:type="paragraph" w:styleId="Heading1">
    <w:name w:val="Heading 1"/>
    <w:basedOn w:val="Normal"/>
    <w:next w:val="Normal"/>
    <w:link w:val="11"/>
    <w:qFormat/>
    <w:rsid w:val="002b3ae8"/>
    <w:pPr>
      <w:keepNext w:val="true"/>
      <w:suppressAutoHyphens w:val="false"/>
      <w:spacing w:before="60" w:after="0"/>
      <w:jc w:val="center"/>
      <w:outlineLvl w:val="0"/>
    </w:pPr>
    <w:rPr>
      <w:b/>
      <w:caps/>
      <w:sz w:val="28"/>
      <w:lang w:eastAsia="ru-RU"/>
    </w:rPr>
  </w:style>
  <w:style w:type="character" w:styleId="DefaultParagraphFont" w:default="1">
    <w:name w:val="Default Paragraph Font"/>
    <w:uiPriority w:val="1"/>
    <w:semiHidden/>
    <w:unhideWhenUsed/>
    <w:qFormat/>
    <w:rPr/>
  </w:style>
  <w:style w:type="character" w:styleId="WW8Num1z1" w:customStyle="1">
    <w:name w:val="WW8Num1z1"/>
    <w:qFormat/>
    <w:rsid w:val="00914263"/>
    <w:rPr>
      <w:rFonts w:ascii="Symbol" w:hAnsi="Symbol"/>
    </w:rPr>
  </w:style>
  <w:style w:type="character" w:styleId="Absatz-Standardschriftart" w:customStyle="1">
    <w:name w:val="Absatz-Standardschriftart"/>
    <w:qFormat/>
    <w:rsid w:val="00914263"/>
    <w:rPr/>
  </w:style>
  <w:style w:type="character" w:styleId="WW-Absatz-Standardschriftart" w:customStyle="1">
    <w:name w:val="WW-Absatz-Standardschriftart"/>
    <w:qFormat/>
    <w:rsid w:val="00914263"/>
    <w:rPr/>
  </w:style>
  <w:style w:type="character" w:styleId="WW-Absatz-Standardschriftart1" w:customStyle="1">
    <w:name w:val="WW-Absatz-Standardschriftart1"/>
    <w:qFormat/>
    <w:rsid w:val="00914263"/>
    <w:rPr/>
  </w:style>
  <w:style w:type="character" w:styleId="WW-Absatz-Standardschriftart11" w:customStyle="1">
    <w:name w:val="WW-Absatz-Standardschriftart11"/>
    <w:qFormat/>
    <w:rsid w:val="00914263"/>
    <w:rPr/>
  </w:style>
  <w:style w:type="character" w:styleId="WW-Absatz-Standardschriftart111" w:customStyle="1">
    <w:name w:val="WW-Absatz-Standardschriftart111"/>
    <w:qFormat/>
    <w:rsid w:val="00914263"/>
    <w:rPr/>
  </w:style>
  <w:style w:type="character" w:styleId="WW-Absatz-Standardschriftart1111" w:customStyle="1">
    <w:name w:val="WW-Absatz-Standardschriftart1111"/>
    <w:qFormat/>
    <w:rsid w:val="00914263"/>
    <w:rPr/>
  </w:style>
  <w:style w:type="character" w:styleId="WW-Absatz-Standardschriftart11111" w:customStyle="1">
    <w:name w:val="WW-Absatz-Standardschriftart11111"/>
    <w:qFormat/>
    <w:rsid w:val="00914263"/>
    <w:rPr/>
  </w:style>
  <w:style w:type="character" w:styleId="WW-Absatz-Standardschriftart111111" w:customStyle="1">
    <w:name w:val="WW-Absatz-Standardschriftart111111"/>
    <w:qFormat/>
    <w:rsid w:val="00914263"/>
    <w:rPr/>
  </w:style>
  <w:style w:type="character" w:styleId="WW-Absatz-Standardschriftart1111111" w:customStyle="1">
    <w:name w:val="WW-Absatz-Standardschriftart1111111"/>
    <w:qFormat/>
    <w:rsid w:val="00914263"/>
    <w:rPr/>
  </w:style>
  <w:style w:type="character" w:styleId="1" w:customStyle="1">
    <w:name w:val="Основной шрифт абзаца1"/>
    <w:qFormat/>
    <w:rsid w:val="00914263"/>
    <w:rPr/>
  </w:style>
  <w:style w:type="character" w:styleId="Hyperlink">
    <w:name w:val="Hyperlink"/>
    <w:basedOn w:val="1"/>
    <w:rsid w:val="00914263"/>
    <w:rPr>
      <w:color w:val="0000FF"/>
      <w:u w:val="single"/>
    </w:rPr>
  </w:style>
  <w:style w:type="character" w:styleId="Style13" w:customStyle="1">
    <w:name w:val="Символ нумерации"/>
    <w:qFormat/>
    <w:rsid w:val="00914263"/>
    <w:rPr/>
  </w:style>
  <w:style w:type="character" w:styleId="Iceouttxt5" w:customStyle="1">
    <w:name w:val="iceouttxt5"/>
    <w:basedOn w:val="DefaultParagraphFont"/>
    <w:qFormat/>
    <w:rsid w:val="00831a7a"/>
    <w:rPr>
      <w:rFonts w:ascii="Arial" w:hAnsi="Arial" w:cs="Arial"/>
      <w:color w:val="666666"/>
      <w:sz w:val="17"/>
      <w:szCs w:val="17"/>
    </w:rPr>
  </w:style>
  <w:style w:type="character" w:styleId="11" w:customStyle="1">
    <w:name w:val="Заголовок 1 Знак"/>
    <w:basedOn w:val="DefaultParagraphFont"/>
    <w:qFormat/>
    <w:rsid w:val="002b3ae8"/>
    <w:rPr>
      <w:b/>
      <w:caps/>
      <w:sz w:val="28"/>
    </w:rPr>
  </w:style>
  <w:style w:type="character" w:styleId="Style14" w:customStyle="1">
    <w:name w:val="Текст выноски Знак"/>
    <w:basedOn w:val="DefaultParagraphFont"/>
    <w:link w:val="BalloonText"/>
    <w:uiPriority w:val="99"/>
    <w:semiHidden/>
    <w:qFormat/>
    <w:rsid w:val="0023498e"/>
    <w:rPr>
      <w:rFonts w:ascii="Tahoma" w:hAnsi="Tahoma" w:cs="Tahoma"/>
      <w:sz w:val="16"/>
      <w:szCs w:val="16"/>
      <w:lang w:eastAsia="ar-SA"/>
    </w:rPr>
  </w:style>
  <w:style w:type="character" w:styleId="Style15" w:customStyle="1">
    <w:name w:val="Название Знак"/>
    <w:basedOn w:val="DefaultParagraphFont"/>
    <w:qFormat/>
    <w:rsid w:val="00133788"/>
    <w:rPr>
      <w:b/>
      <w:sz w:val="28"/>
    </w:rPr>
  </w:style>
  <w:style w:type="character" w:styleId="Wmi-callto" w:customStyle="1">
    <w:name w:val="wmi-callto"/>
    <w:basedOn w:val="DefaultParagraphFont"/>
    <w:qFormat/>
    <w:rsid w:val="0087265b"/>
    <w:rPr/>
  </w:style>
  <w:style w:type="paragraph" w:styleId="Style16" w:customStyle="1">
    <w:name w:val="Заголовок"/>
    <w:basedOn w:val="Normal"/>
    <w:next w:val="BodyText"/>
    <w:qFormat/>
    <w:rsid w:val="00914263"/>
    <w:pPr>
      <w:keepNext w:val="true"/>
      <w:spacing w:before="240" w:after="120"/>
    </w:pPr>
    <w:rPr>
      <w:rFonts w:ascii="Arial" w:hAnsi="Arial" w:eastAsia="Lucida Sans Unicode" w:cs="Mangal"/>
      <w:sz w:val="28"/>
      <w:szCs w:val="28"/>
    </w:rPr>
  </w:style>
  <w:style w:type="paragraph" w:styleId="BodyText">
    <w:name w:val="Body Text"/>
    <w:basedOn w:val="Normal"/>
    <w:rsid w:val="00914263"/>
    <w:pPr>
      <w:spacing w:before="0" w:after="120"/>
    </w:pPr>
    <w:rPr/>
  </w:style>
  <w:style w:type="paragraph" w:styleId="List">
    <w:name w:val="List"/>
    <w:basedOn w:val="BodyText"/>
    <w:rsid w:val="00914263"/>
    <w:pPr/>
    <w:rPr>
      <w:rFonts w:cs="Mangal"/>
    </w:rPr>
  </w:style>
  <w:style w:type="paragraph" w:styleId="Caption">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12" w:customStyle="1">
    <w:name w:val="Название1"/>
    <w:basedOn w:val="Normal"/>
    <w:qFormat/>
    <w:rsid w:val="00914263"/>
    <w:pPr>
      <w:suppressLineNumbers/>
      <w:spacing w:before="120" w:after="120"/>
    </w:pPr>
    <w:rPr>
      <w:rFonts w:cs="Mangal"/>
      <w:i/>
      <w:iCs/>
      <w:sz w:val="24"/>
      <w:szCs w:val="24"/>
    </w:rPr>
  </w:style>
  <w:style w:type="paragraph" w:styleId="13" w:customStyle="1">
    <w:name w:val="Указатель1"/>
    <w:basedOn w:val="Normal"/>
    <w:qFormat/>
    <w:rsid w:val="00914263"/>
    <w:pPr>
      <w:suppressLineNumbers/>
    </w:pPr>
    <w:rPr>
      <w:rFonts w:cs="Mangal"/>
    </w:rPr>
  </w:style>
  <w:style w:type="paragraph" w:styleId="14" w:customStyle="1">
    <w:name w:val="Обычный1"/>
    <w:qFormat/>
    <w:rsid w:val="00a50b90"/>
    <w:pPr>
      <w:widowControl/>
      <w:suppressAutoHyphens w:val="true"/>
      <w:bidi w:val="0"/>
      <w:spacing w:before="0" w:after="0"/>
      <w:jc w:val="left"/>
    </w:pPr>
    <w:rPr>
      <w:rFonts w:ascii="Times New Roman" w:hAnsi="Times New Roman" w:eastAsia="Times New Roman" w:cs="Times New Roman"/>
      <w:color w:val="auto"/>
      <w:kern w:val="0"/>
      <w:sz w:val="24"/>
      <w:szCs w:val="20"/>
      <w:lang w:val="ru-RU" w:eastAsia="ru-RU" w:bidi="ar-SA"/>
    </w:rPr>
  </w:style>
  <w:style w:type="paragraph" w:styleId="BodyTextIndent">
    <w:name w:val="Body Text Indent"/>
    <w:basedOn w:val="Normal"/>
    <w:rsid w:val="00914263"/>
    <w:pPr>
      <w:ind w:firstLine="709"/>
    </w:pPr>
    <w:rPr>
      <w:sz w:val="28"/>
    </w:rPr>
  </w:style>
  <w:style w:type="paragraph" w:styleId="ConsPlusNormal" w:customStyle="1">
    <w:name w:val="ConsPlusNormal"/>
    <w:qFormat/>
    <w:rsid w:val="00914263"/>
    <w:pPr>
      <w:widowControl/>
      <w:suppressAutoHyphens w:val="true"/>
      <w:bidi w:val="0"/>
      <w:spacing w:before="0" w:after="0"/>
      <w:ind w:firstLine="720"/>
      <w:jc w:val="left"/>
    </w:pPr>
    <w:rPr>
      <w:rFonts w:ascii="Arial" w:hAnsi="Arial" w:eastAsia="Arial" w:cs="Arial"/>
      <w:color w:val="auto"/>
      <w:kern w:val="0"/>
      <w:sz w:val="20"/>
      <w:szCs w:val="20"/>
      <w:lang w:val="ru-RU" w:eastAsia="ar-SA" w:bidi="ar-SA"/>
    </w:rPr>
  </w:style>
  <w:style w:type="paragraph" w:styleId="Style18" w:customStyle="1">
    <w:name w:val="Содержимое таблицы"/>
    <w:basedOn w:val="Normal"/>
    <w:qFormat/>
    <w:rsid w:val="00914263"/>
    <w:pPr>
      <w:suppressLineNumbers/>
    </w:pPr>
    <w:rPr/>
  </w:style>
  <w:style w:type="paragraph" w:styleId="Style19" w:customStyle="1">
    <w:name w:val="Заголовок таблицы"/>
    <w:basedOn w:val="Style18"/>
    <w:qFormat/>
    <w:rsid w:val="00914263"/>
    <w:pPr>
      <w:jc w:val="center"/>
    </w:pPr>
    <w:rPr>
      <w:b/>
      <w:bCs/>
    </w:rPr>
  </w:style>
  <w:style w:type="paragraph" w:styleId="NoSpacing">
    <w:name w:val="No Spacing"/>
    <w:qFormat/>
    <w:rsid w:val="00914263"/>
    <w:pPr>
      <w:widowControl/>
      <w:suppressAutoHyphens w:val="true"/>
      <w:bidi w:val="0"/>
      <w:spacing w:before="0" w:after="0"/>
      <w:jc w:val="left"/>
    </w:pPr>
    <w:rPr>
      <w:rFonts w:ascii="Times New Roman" w:hAnsi="Times New Roman" w:eastAsia="Arial" w:cs="Times New Roman"/>
      <w:color w:val="auto"/>
      <w:kern w:val="0"/>
      <w:sz w:val="20"/>
      <w:szCs w:val="20"/>
      <w:lang w:val="ru-RU" w:eastAsia="ar-SA" w:bidi="ar-SA"/>
    </w:rPr>
  </w:style>
  <w:style w:type="paragraph" w:styleId="2" w:customStyle="1">
    <w:name w:val="Обычный2"/>
    <w:qFormat/>
    <w:rsid w:val="006058e7"/>
    <w:pPr>
      <w:widowControl/>
      <w:suppressAutoHyphens w:val="true"/>
      <w:bidi w:val="0"/>
      <w:spacing w:before="0" w:after="0"/>
      <w:jc w:val="left"/>
    </w:pPr>
    <w:rPr>
      <w:rFonts w:ascii="Times New Roman" w:hAnsi="Times New Roman" w:eastAsia="Times New Roman" w:cs="Times New Roman"/>
      <w:color w:val="auto"/>
      <w:kern w:val="0"/>
      <w:sz w:val="24"/>
      <w:szCs w:val="20"/>
      <w:lang w:val="ru-RU" w:eastAsia="ar-SA" w:bidi="ar-SA"/>
    </w:rPr>
  </w:style>
  <w:style w:type="paragraph" w:styleId="BalloonText">
    <w:name w:val="Balloon Text"/>
    <w:basedOn w:val="Normal"/>
    <w:link w:val="Style14"/>
    <w:uiPriority w:val="99"/>
    <w:semiHidden/>
    <w:unhideWhenUsed/>
    <w:qFormat/>
    <w:rsid w:val="0023498e"/>
    <w:pPr/>
    <w:rPr>
      <w:rFonts w:ascii="Tahoma" w:hAnsi="Tahoma" w:cs="Tahoma"/>
      <w:sz w:val="16"/>
      <w:szCs w:val="16"/>
    </w:rPr>
  </w:style>
  <w:style w:type="paragraph" w:styleId="Normal1" w:customStyle="1">
    <w:name w:val="Normal1"/>
    <w:qFormat/>
    <w:rsid w:val="00133788"/>
    <w:pPr>
      <w:widowControl/>
      <w:suppressAutoHyphens w:val="true"/>
      <w:bidi w:val="0"/>
      <w:spacing w:before="0" w:after="0"/>
      <w:jc w:val="left"/>
    </w:pPr>
    <w:rPr>
      <w:rFonts w:ascii="Times New Roman" w:hAnsi="Times New Roman" w:eastAsia="Times New Roman" w:cs="Times New Roman"/>
      <w:color w:val="auto"/>
      <w:kern w:val="0"/>
      <w:sz w:val="24"/>
      <w:szCs w:val="20"/>
      <w:lang w:val="ru-RU" w:eastAsia="ru-RU" w:bidi="ar-SA"/>
    </w:rPr>
  </w:style>
  <w:style w:type="paragraph" w:styleId="ConsPlusNonformat" w:customStyle="1">
    <w:name w:val="ConsPlusNonformat"/>
    <w:qFormat/>
    <w:rsid w:val="00133788"/>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Title">
    <w:name w:val="Title"/>
    <w:basedOn w:val="Normal"/>
    <w:link w:val="Style15"/>
    <w:qFormat/>
    <w:rsid w:val="00133788"/>
    <w:pPr>
      <w:suppressAutoHyphens w:val="false"/>
      <w:jc w:val="center"/>
    </w:pPr>
    <w:rPr>
      <w:b/>
      <w:sz w:val="28"/>
      <w:lang w:eastAsia="ru-RU"/>
    </w:rPr>
  </w:style>
  <w:style w:type="paragraph" w:styleId="ConsNormal" w:customStyle="1">
    <w:name w:val="ConsNormal"/>
    <w:qFormat/>
    <w:rsid w:val="00133788"/>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NormalWeb">
    <w:name w:val="Normal (Web)"/>
    <w:basedOn w:val="Normal"/>
    <w:qFormat/>
    <w:rsid w:val="00133788"/>
    <w:pPr>
      <w:suppressAutoHyphens w:val="false"/>
      <w:spacing w:beforeAutospacing="1" w:afterAutospacing="1"/>
    </w:pPr>
    <w:rPr>
      <w:sz w:val="24"/>
      <w:szCs w:val="24"/>
      <w:lang w:eastAsia="ru-RU"/>
    </w:rPr>
  </w:style>
  <w:style w:type="paragraph" w:styleId="Western" w:customStyle="1">
    <w:name w:val="western"/>
    <w:basedOn w:val="Normal"/>
    <w:qFormat/>
    <w:rsid w:val="00133788"/>
    <w:pPr>
      <w:suppressAutoHyphens w:val="false"/>
      <w:spacing w:beforeAutospacing="1" w:afterAutospacing="1"/>
    </w:pPr>
    <w:rPr>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oseltorg.ru/" TargetMode="External"/><Relationship Id="rId3" Type="http://schemas.openxmlformats.org/officeDocument/2006/relationships/hyperlink" Target="consultantplus://offline/ref=D4A68558A8FD10E6E491CD1D6B1D81ACFA61396BC7F47D39AD5DF340A8EAD1FB5AB32D44A96F2549U3M6H" TargetMode="External"/><Relationship Id="rId4" Type="http://schemas.openxmlformats.org/officeDocument/2006/relationships/hyperlink" Target="consultantplus://offline/ref=69348D19058497D5BA072A34F0C9652AD94A49284F4CA13B7148F8E1020C214D98A4DF118D18B9A4FBB9A836B8o3GFM" TargetMode="External"/><Relationship Id="rId5" Type="http://schemas.openxmlformats.org/officeDocument/2006/relationships/hyperlink" Target="http://www.torgi.gov.ru/" TargetMode="External"/><Relationship Id="rId6" Type="http://schemas.openxmlformats.org/officeDocument/2006/relationships/hyperlink" Target="http://www.torgi.gov.ru/"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398</TotalTime>
  <Application>LibreOffice/7.6.6.3$Linux_X86_64 LibreOffice_project/60$Build-3</Application>
  <AppVersion>15.0000</AppVersion>
  <Pages>4</Pages>
  <Words>1887</Words>
  <Characters>13346</Characters>
  <CharactersWithSpaces>15325</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2014-11-19T09:43:00Z</dcterms:created>
  <dc:creator>Test</dc:creator>
  <dc:description/>
  <dc:language>ru-RU</dc:language>
  <cp:lastModifiedBy/>
  <cp:lastPrinted>2018-10-25T05:00:00Z</cp:lastPrinted>
  <dcterms:modified xsi:type="dcterms:W3CDTF">2024-10-29T12:05:11Z</dcterms:modified>
  <cp:revision>145</cp:revision>
  <dc:subject/>
  <dc:title>Бюджетное учреждение Омской области</dc:title>
</cp:coreProperties>
</file>

<file path=docProps/custom.xml><?xml version="1.0" encoding="utf-8"?>
<Properties xmlns="http://schemas.openxmlformats.org/officeDocument/2006/custom-properties" xmlns:vt="http://schemas.openxmlformats.org/officeDocument/2006/docPropsVTypes"/>
</file>