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-268605</wp:posOffset>
            </wp:positionH>
            <wp:positionV relativeFrom="paragraph">
              <wp:posOffset>81915</wp:posOffset>
            </wp:positionV>
            <wp:extent cx="2226310" cy="4921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/>
          <w:i/>
          <w:iCs/>
          <w:sz w:val="28"/>
        </w:rPr>
      </w:pPr>
      <w:r>
        <w:rPr>
          <w:rFonts w:ascii="Times New Roman" w:hAnsi="Times New Roman"/>
          <w:b/>
          <w:bCs/>
          <w:i/>
          <w:iCs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iCs/>
          <w:sz w:val="28"/>
        </w:rPr>
      </w:pPr>
      <w:r>
        <w:rPr>
          <w:rFonts w:ascii="Times New Roman" w:hAnsi="Times New Roman"/>
          <w:b/>
          <w:bCs/>
          <w:iCs/>
          <w:sz w:val="28"/>
        </w:rPr>
        <w:t>В филиал ППК «Роскадастр» по Омской области в IV квартале 2024 года поступило 145 обращений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sz w:val="28"/>
        </w:rPr>
        <w:tab/>
        <w:tab/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sz w:val="28"/>
        </w:rPr>
        <w:tab/>
        <w:tab/>
      </w:r>
      <w:r>
        <w:rPr>
          <w:rFonts w:ascii="Times New Roman" w:hAnsi="Times New Roman"/>
          <w:sz w:val="28"/>
          <w:szCs w:val="28"/>
        </w:rPr>
        <w:t>В IV квартале 2024 года в филиал ППК «Роскадастр» по Омской области  поступило 145 обращений, что на 14 обращений меньше по сравнению с показателями III квартала 2024 года (159 обращений), из них:</w:t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>- от граждан — 103 обращения;</w:t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>- от юридических лиц — 32 обращения;</w:t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>- от кадастровых инженеров — 6 обращений;</w:t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>- от объединений граждан (ТСЖ, СНТ) — 4 обращения.</w:t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>Поступило почтовым отправлением, нарочным (лично) — 62 обращения, по сети "Интернет" (посредством сервиса сайта, электронной почты) — 82 обращения, из центрального аппарата Росреестра — 1 обращение.</w:t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ab/>
        <w:tab/>
        <w:t>Специалисты рассмотрели и ответили на 98 обращений (с учетом 9 обращений на начало отчетного периода) по следующим направлениям: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1.</w:t>
        <w:tab/>
        <w:t>Государственный кадастровый учет и (или) государственная регистрация прав, ограничение прав и обременение объектов недвижимости, предоставление сведений из Единого государственного реестра недвижимости (ЕГРН) — 76 обращений.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2.</w:t>
        <w:tab/>
        <w:t>Вопросы землеустройства, землеустроительного процесса, установления границ, мониторинга земель, кадастровой деятельности — 3 обращения.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3.</w:t>
        <w:tab/>
        <w:t>Государственная кадастровая оценка —  8 обращений.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4.</w:t>
        <w:tab/>
        <w:t>Электронные услуги и сервисы Росреестра —  5 обращений.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5. Имущественные отношения в части гражданского оборота недвижимого имущества, земельные отношения — 1 обращение.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6. Другие вопросы, относящиеся к компетенции Росреестра, — 5 обращений.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По результатам рассмотрения обращений даны письменные ответы с разъяснениями по 42 обращениям, вопрос заявителя разрешен по 17 обращениям,  вопрос заявителя признан не подлежащим удовлетворению по 39 обращениям.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На конец отчетного периода на рассмотрении находилось 9 обращений.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>Перенаправлено на рассмотрение по принадлежности в IV квартале 2024 года —  44 обращения (c учетом 3 обращений на начало отчетного периода).</w:t>
      </w:r>
    </w:p>
    <w:p>
      <w:pPr>
        <w:pStyle w:val="Normal"/>
        <w:spacing w:lineRule="auto" w:line="360" w:before="850" w:after="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 xml:space="preserve">Обоснованных жалоб не поступало, аналогично предшествующему периоду. </w:t>
      </w:r>
    </w:p>
    <w:p>
      <w:pPr>
        <w:pStyle w:val="Normal"/>
        <w:spacing w:lineRule="auto" w:line="360" w:before="850" w:after="0"/>
        <w:contextualSpacing/>
        <w:jc w:val="both"/>
        <w:rPr/>
      </w:pPr>
      <w:r>
        <w:rPr>
          <w:rFonts w:ascii="Times New Roman" w:hAnsi="Times New Roman"/>
          <w:i/>
          <w:iCs/>
          <w:sz w:val="28"/>
          <w:szCs w:val="28"/>
        </w:rPr>
        <w:tab/>
        <w:tab/>
        <w:t>«Для направления обращения в филиал ППК «Роскадастр» по Омской области можно воспользоваться сервисом платформы обратной связи «Открытая служба. Госуслуги. Решаем вместе» Удобный современный сервис позволит вам отслеживать ход рассмотрения обращения и ускорит получение ответов»</w:t>
      </w:r>
      <w:r>
        <w:rPr>
          <w:rFonts w:ascii="Times New Roman" w:hAnsi="Times New Roman"/>
          <w:sz w:val="28"/>
          <w:szCs w:val="28"/>
        </w:rPr>
        <w:t xml:space="preserve">, — </w:t>
      </w:r>
      <w:r>
        <w:rPr>
          <w:rFonts w:ascii="Times New Roman" w:hAnsi="Times New Roman"/>
          <w:b/>
          <w:bCs/>
          <w:sz w:val="28"/>
          <w:szCs w:val="28"/>
        </w:rPr>
        <w:t>рассказывает заместитель директора Филиала Игорь Баскаков.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/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type w:val="nextPage"/>
      <w:pgSz w:w="11906" w:h="16838"/>
      <w:pgMar w:left="1701" w:right="567" w:gutter="0" w:header="0" w:top="568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Sans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367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5f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Гиперссылка1"/>
    <w:basedOn w:val="DefaultParagraphFont"/>
    <w:uiPriority w:val="99"/>
    <w:unhideWhenUsed/>
    <w:qFormat/>
    <w:rsid w:val="00455f0e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e5680a"/>
    <w:rPr>
      <w:rFonts w:ascii="Segoe UI" w:hAnsi="Segoe UI" w:cs="Segoe UI"/>
      <w:sz w:val="18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6c13b3"/>
    <w:rPr/>
  </w:style>
  <w:style w:type="character" w:styleId="Style16" w:customStyle="1">
    <w:name w:val="Нижний колонтитул Знак"/>
    <w:basedOn w:val="DefaultParagraphFont"/>
    <w:uiPriority w:val="99"/>
    <w:qFormat/>
    <w:rsid w:val="006c13b3"/>
    <w:rPr/>
  </w:style>
  <w:style w:type="character" w:styleId="-">
    <w:name w:val="Hyperlink"/>
    <w:rsid w:val="0009073b"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rsid w:val="00b8047f"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8">
    <w:name w:val="Body Text"/>
    <w:basedOn w:val="Normal"/>
    <w:rsid w:val="00b8047f"/>
    <w:pPr>
      <w:spacing w:before="0" w:after="140"/>
    </w:pPr>
    <w:rPr/>
  </w:style>
  <w:style w:type="paragraph" w:styleId="Style19">
    <w:name w:val="List"/>
    <w:basedOn w:val="Style18"/>
    <w:rsid w:val="00b8047f"/>
    <w:pPr/>
    <w:rPr>
      <w:rFonts w:ascii="PT Sans" w:hAnsi="PT Sans" w:cs="Noto Sans Devanagari"/>
    </w:rPr>
  </w:style>
  <w:style w:type="paragraph" w:styleId="Style20" w:customStyle="1">
    <w:name w:val="Caption"/>
    <w:basedOn w:val="Normal"/>
    <w:qFormat/>
    <w:rsid w:val="00b8047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Noto Sans Devanagari"/>
    </w:rPr>
  </w:style>
  <w:style w:type="paragraph" w:styleId="Indexheading">
    <w:name w:val="index heading"/>
    <w:basedOn w:val="Normal"/>
    <w:qFormat/>
    <w:rsid w:val="00b8047f"/>
    <w:pPr>
      <w:suppressLineNumbers/>
    </w:pPr>
    <w:rPr>
      <w:rFonts w:ascii="PT Sans" w:hAnsi="PT Sans" w:cs="Noto Sans Devanagari"/>
    </w:rPr>
  </w:style>
  <w:style w:type="paragraph" w:styleId="BalloonText">
    <w:name w:val="Balloon Text"/>
    <w:basedOn w:val="Normal"/>
    <w:uiPriority w:val="99"/>
    <w:semiHidden/>
    <w:unhideWhenUsed/>
    <w:qFormat/>
    <w:rsid w:val="00e5680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2" w:customStyle="1">
    <w:name w:val="Верхний и нижний колонтитулы"/>
    <w:basedOn w:val="Normal"/>
    <w:qFormat/>
    <w:rsid w:val="00b8047f"/>
    <w:pPr/>
    <w:rPr/>
  </w:style>
  <w:style w:type="paragraph" w:styleId="Style23" w:customStyle="1">
    <w:name w:val="Колонтитул"/>
    <w:basedOn w:val="Normal"/>
    <w:qFormat/>
    <w:rsid w:val="00732ead"/>
    <w:pPr/>
    <w:rPr/>
  </w:style>
  <w:style w:type="paragraph" w:styleId="Style24" w:customStyle="1">
    <w:name w:val="Header"/>
    <w:basedOn w:val="Normal"/>
    <w:uiPriority w:val="99"/>
    <w:unhideWhenUsed/>
    <w:rsid w:val="006c13b3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 w:customStyle="1">
    <w:name w:val="Footer"/>
    <w:basedOn w:val="Normal"/>
    <w:uiPriority w:val="99"/>
    <w:unhideWhenUsed/>
    <w:rsid w:val="006c13b3"/>
    <w:pPr>
      <w:tabs>
        <w:tab w:val="clear" w:pos="367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e81fc6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Mangal"/>
      <w:color w:val="auto"/>
      <w:kern w:val="2"/>
      <w:sz w:val="22"/>
      <w:szCs w:val="24"/>
      <w:lang w:val="ru-RU" w:eastAsia="hi-IN" w:bidi="hi-IN"/>
    </w:rPr>
  </w:style>
  <w:style w:type="paragraph" w:styleId="Style26" w:customStyle="1">
    <w:name w:val="Содержимое таблицы"/>
    <w:basedOn w:val="Normal"/>
    <w:qFormat/>
    <w:rsid w:val="00434054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434054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674ef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Application>LibreOffice/7.5.6.2$Linux_X86_64 LibreOffice_project/50$Build-2</Application>
  <AppVersion>15.0000</AppVersion>
  <Pages>2</Pages>
  <Words>290</Words>
  <Characters>1963</Characters>
  <CharactersWithSpaces>2294</CharactersWithSpaces>
  <Paragraphs>21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2022-11-17T09:15:00Z</dcterms:created>
  <dc:creator>Рязанцева Татьяна Анатольевна</dc:creator>
  <dc:description/>
  <dc:language>ru-RU</dc:language>
  <cp:lastModifiedBy/>
  <cp:lastPrinted>2024-04-22T16:23:00Z</cp:lastPrinted>
  <dcterms:modified xsi:type="dcterms:W3CDTF">2025-01-22T15:15:09Z</dcterms:modified>
  <cp:revision>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