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color w:val="000000"/>
        </w:rPr>
      </w:pPr>
      <w:r>
        <w:rPr>
          <w:b/>
          <w:color w:val="000000"/>
        </w:rPr>
        <w:t>Комитет имущественных отношений Администрации Полтавского муниципального района Омской области</w:t>
      </w:r>
    </w:p>
    <w:p>
      <w:pPr>
        <w:pStyle w:val="Normal"/>
        <w:suppressAutoHyphens w:val="false"/>
        <w:jc w:val="center"/>
        <w:rPr>
          <w:i/>
          <w:i/>
          <w:iCs/>
          <w:lang w:eastAsia="ru-RU"/>
        </w:rPr>
      </w:pPr>
      <w:r>
        <w:rPr>
          <w:i/>
          <w:color w:themeColor="text1" w:val="000000"/>
        </w:rPr>
        <w:t xml:space="preserve">сообщает о проведении </w:t>
      </w:r>
      <w:r>
        <w:rPr>
          <w:i/>
          <w:iCs/>
          <w:lang w:eastAsia="ru-RU"/>
        </w:rPr>
        <w:t>продажи имущества посредством публичного предложения,</w:t>
      </w:r>
    </w:p>
    <w:p>
      <w:pPr>
        <w:pStyle w:val="Normal"/>
        <w:jc w:val="center"/>
        <w:rPr>
          <w:i/>
          <w:i/>
          <w:color w:themeColor="text1" w:val="000000"/>
        </w:rPr>
      </w:pPr>
      <w:r>
        <w:rPr>
          <w:i/>
          <w:color w:themeColor="text1" w:val="000000"/>
        </w:rPr>
        <w:t>в электронной форме</w:t>
      </w:r>
    </w:p>
    <w:p>
      <w:pPr>
        <w:pStyle w:val="14"/>
        <w:widowControl w:val="false"/>
        <w:tabs>
          <w:tab w:val="clear" w:pos="708"/>
          <w:tab w:val="left" w:pos="5660" w:leader="none"/>
        </w:tabs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</w:r>
    </w:p>
    <w:p>
      <w:pPr>
        <w:pStyle w:val="14"/>
        <w:widowControl w:val="false"/>
        <w:tabs>
          <w:tab w:val="clear" w:pos="708"/>
          <w:tab w:val="left" w:pos="5660" w:leader="none"/>
        </w:tabs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  <w:lang w:val="en-US"/>
        </w:rPr>
        <w:t>I</w:t>
      </w:r>
      <w:r>
        <w:rPr>
          <w:b/>
          <w:color w:themeColor="text1" w:val="000000"/>
          <w:sz w:val="20"/>
        </w:rPr>
        <w:t xml:space="preserve">. </w:t>
      </w:r>
      <w:r>
        <w:rPr>
          <w:b/>
          <w:color w:themeColor="text1" w:val="000000"/>
          <w:sz w:val="20"/>
        </w:rPr>
        <w:t>Общие положения</w:t>
      </w:r>
    </w:p>
    <w:p>
      <w:pPr>
        <w:pStyle w:val="Normal"/>
        <w:ind w:firstLine="567"/>
        <w:jc w:val="both"/>
        <w:rPr>
          <w:color w:themeColor="text1" w:val="000000"/>
        </w:rPr>
      </w:pPr>
      <w:r>
        <w:rPr>
          <w:b/>
          <w:i/>
          <w:color w:themeColor="text1" w:val="000000"/>
        </w:rPr>
        <w:t xml:space="preserve"> </w:t>
      </w:r>
      <w:r>
        <w:rPr>
          <w:b/>
          <w:i/>
          <w:color w:themeColor="text1" w:val="000000"/>
        </w:rPr>
        <w:t xml:space="preserve">1. Собственник продаваемого имущества </w:t>
      </w:r>
      <w:r>
        <w:rPr>
          <w:color w:themeColor="text1" w:val="000000"/>
        </w:rPr>
        <w:t>– Муниципальное образование Полтавский муниципальный район Омской области.</w:t>
      </w:r>
    </w:p>
    <w:p>
      <w:pPr>
        <w:pStyle w:val="Normal"/>
        <w:ind w:firstLine="567"/>
        <w:jc w:val="both"/>
        <w:rPr>
          <w:color w:themeColor="text1" w:val="000000"/>
        </w:rPr>
      </w:pPr>
      <w:r>
        <w:rPr>
          <w:b/>
          <w:i/>
          <w:color w:themeColor="text1" w:val="000000"/>
        </w:rPr>
        <w:t xml:space="preserve"> </w:t>
      </w:r>
      <w:r>
        <w:rPr>
          <w:b/>
          <w:i/>
          <w:color w:themeColor="text1" w:val="000000"/>
        </w:rPr>
        <w:t xml:space="preserve">2. Организатор торгов - </w:t>
      </w:r>
      <w:r>
        <w:rPr>
          <w:color w:themeColor="text1" w:val="000000"/>
        </w:rPr>
        <w:t>Комитет имущественных отношений Администрации Полтавского муниципального района Омской области</w:t>
      </w:r>
    </w:p>
    <w:p>
      <w:pPr>
        <w:pStyle w:val="Normal"/>
        <w:ind w:firstLine="567"/>
        <w:jc w:val="both"/>
        <w:rPr>
          <w:i/>
          <w:i/>
          <w:color w:themeColor="text1" w:val="000000"/>
        </w:rPr>
      </w:pPr>
      <w:r>
        <w:rPr>
          <w:b/>
          <w:i/>
          <w:color w:themeColor="text1" w:val="000000"/>
        </w:rPr>
        <w:t xml:space="preserve"> </w:t>
      </w:r>
      <w:r>
        <w:rPr>
          <w:b/>
          <w:i/>
          <w:color w:themeColor="text1" w:val="000000"/>
        </w:rPr>
        <w:t>3</w:t>
      </w:r>
      <w:r>
        <w:rPr>
          <w:i/>
          <w:color w:themeColor="text1" w:val="000000"/>
        </w:rPr>
        <w:t xml:space="preserve">. </w:t>
      </w:r>
      <w:r>
        <w:rPr>
          <w:b/>
          <w:i/>
          <w:color w:themeColor="text1" w:val="000000"/>
        </w:rPr>
        <w:t xml:space="preserve">Форма торгов (способ приватизации) </w:t>
      </w:r>
      <w:r>
        <w:rPr>
          <w:color w:val="000000"/>
        </w:rPr>
        <w:t>– Продажа имущества посредством публичного предложения в электронной форме.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 xml:space="preserve">4.  Дата начала приема заявок на участие в аукционе </w:t>
      </w:r>
      <w:r>
        <w:rPr>
          <w:color w:themeColor="text1" w:val="000000"/>
          <w:sz w:val="20"/>
        </w:rPr>
        <w:t>-  20 марта 2025 г.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i/>
          <w:i/>
          <w:color w:themeColor="text1" w:val="000000"/>
          <w:sz w:val="20"/>
        </w:rPr>
      </w:pPr>
      <w:r>
        <w:rPr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5</w:t>
      </w:r>
      <w:r>
        <w:rPr>
          <w:i/>
          <w:color w:themeColor="text1" w:val="000000"/>
          <w:sz w:val="20"/>
        </w:rPr>
        <w:t>.</w:t>
      </w:r>
      <w:r>
        <w:rPr>
          <w:color w:themeColor="text1" w:val="000000"/>
          <w:sz w:val="20"/>
        </w:rPr>
        <w:t xml:space="preserve"> </w:t>
      </w:r>
      <w:r>
        <w:rPr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Дата окончания  приема заявок на участие в продаже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 xml:space="preserve"> - 1</w:t>
      </w:r>
      <w:r>
        <w:rPr>
          <w:color w:themeColor="text1" w:val="000000"/>
          <w:sz w:val="20"/>
        </w:rPr>
        <w:t>4</w:t>
      </w:r>
      <w:r>
        <w:rPr>
          <w:color w:themeColor="text1" w:val="000000"/>
          <w:sz w:val="20"/>
        </w:rPr>
        <w:t xml:space="preserve"> апреля 2025 г.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6</w:t>
      </w:r>
      <w:r>
        <w:rPr>
          <w:i/>
          <w:color w:themeColor="text1" w:val="000000"/>
          <w:sz w:val="20"/>
        </w:rPr>
        <w:t xml:space="preserve">. </w:t>
      </w:r>
      <w:r>
        <w:rPr>
          <w:b/>
          <w:i/>
          <w:color w:themeColor="text1" w:val="000000"/>
          <w:sz w:val="20"/>
        </w:rPr>
        <w:t>Место приема заявок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–  на электронной торговой площадке</w:t>
      </w:r>
      <w:r>
        <w:rPr>
          <w:color w:val="000000"/>
          <w:sz w:val="20"/>
        </w:rPr>
        <w:t xml:space="preserve"> </w:t>
      </w:r>
      <w:r>
        <w:rPr>
          <w:b/>
          <w:color w:themeColor="text1" w:val="000000"/>
          <w:sz w:val="20"/>
        </w:rPr>
        <w:t>www.roseltorg.ru</w:t>
      </w:r>
      <w:r>
        <w:rPr>
          <w:color w:themeColor="text1" w:val="000000"/>
          <w:sz w:val="20"/>
        </w:rPr>
        <w:t xml:space="preserve"> </w:t>
      </w:r>
      <w:r>
        <w:rPr>
          <w:sz w:val="20"/>
        </w:rPr>
        <w:t xml:space="preserve"> </w:t>
      </w:r>
      <w:r>
        <w:rPr>
          <w:color w:val="000000"/>
          <w:sz w:val="20"/>
        </w:rPr>
        <w:t>Единая электронная торговая площадка</w:t>
      </w:r>
      <w:r>
        <w:rPr>
          <w:color w:themeColor="text1" w:val="000000"/>
          <w:sz w:val="20"/>
        </w:rPr>
        <w:t>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7.</w:t>
      </w:r>
      <w:r>
        <w:rPr>
          <w:i/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Дата, время определения участников продажи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– 1</w:t>
      </w:r>
      <w:r>
        <w:rPr>
          <w:color w:themeColor="text1" w:val="000000"/>
          <w:sz w:val="20"/>
        </w:rPr>
        <w:t>6</w:t>
      </w:r>
      <w:r>
        <w:rPr>
          <w:color w:themeColor="text1" w:val="000000"/>
          <w:sz w:val="20"/>
        </w:rPr>
        <w:t xml:space="preserve"> апреля 2025 г. в 10-00 по местному  времени.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8</w:t>
      </w:r>
      <w:r>
        <w:rPr>
          <w:i/>
          <w:color w:themeColor="text1" w:val="000000"/>
          <w:sz w:val="20"/>
        </w:rPr>
        <w:t xml:space="preserve">. </w:t>
      </w:r>
      <w:r>
        <w:rPr>
          <w:b/>
          <w:i/>
          <w:color w:themeColor="text1" w:val="000000"/>
          <w:sz w:val="20"/>
        </w:rPr>
        <w:t>Дата, время и место проведения продажи в</w:t>
      </w:r>
      <w:r>
        <w:rPr>
          <w:color w:themeColor="text1" w:val="000000"/>
          <w:sz w:val="20"/>
        </w:rPr>
        <w:t xml:space="preserve"> </w:t>
      </w:r>
      <w:r>
        <w:rPr>
          <w:b/>
          <w:i/>
          <w:color w:themeColor="text1" w:val="000000"/>
          <w:sz w:val="20"/>
        </w:rPr>
        <w:t>электронной форме</w:t>
      </w:r>
      <w:r>
        <w:rPr>
          <w:i/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 xml:space="preserve">– </w:t>
      </w:r>
      <w:r>
        <w:rPr>
          <w:color w:themeColor="text1" w:val="000000"/>
          <w:sz w:val="20"/>
        </w:rPr>
        <w:t>18</w:t>
      </w:r>
      <w:r>
        <w:rPr>
          <w:color w:themeColor="text1" w:val="000000"/>
          <w:sz w:val="20"/>
        </w:rPr>
        <w:t xml:space="preserve"> апреля 2025г. в 10-00 по местному времени на электронной торговой площадке</w:t>
      </w:r>
      <w:r>
        <w:rPr>
          <w:color w:val="000000"/>
          <w:sz w:val="20"/>
        </w:rPr>
        <w:t xml:space="preserve"> </w:t>
      </w:r>
      <w:r>
        <w:rPr>
          <w:b/>
          <w:color w:themeColor="text1" w:val="000000"/>
          <w:sz w:val="20"/>
        </w:rPr>
        <w:t>www.roseltorg.ru</w:t>
      </w:r>
      <w:r>
        <w:rPr>
          <w:color w:themeColor="text1" w:val="000000"/>
          <w:sz w:val="20"/>
        </w:rPr>
        <w:t xml:space="preserve"> </w:t>
      </w:r>
      <w:r>
        <w:rPr>
          <w:sz w:val="20"/>
        </w:rPr>
        <w:t xml:space="preserve"> </w:t>
      </w:r>
      <w:r>
        <w:rPr>
          <w:color w:val="000000"/>
          <w:sz w:val="20"/>
        </w:rPr>
        <w:t>Единая электронная торговая площадка</w:t>
      </w:r>
      <w:r>
        <w:rPr>
          <w:color w:themeColor="text1" w:val="000000"/>
          <w:sz w:val="20"/>
        </w:rPr>
        <w:t>.</w:t>
      </w:r>
    </w:p>
    <w:p>
      <w:pPr>
        <w:pStyle w:val="14"/>
        <w:widowControl w:val="false"/>
        <w:tabs>
          <w:tab w:val="clear" w:pos="708"/>
          <w:tab w:val="left" w:pos="5660" w:leader="none"/>
        </w:tabs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9. Средства платежа</w:t>
      </w:r>
      <w:r>
        <w:rPr>
          <w:b/>
          <w:color w:themeColor="text1" w:val="000000"/>
          <w:sz w:val="20"/>
        </w:rPr>
        <w:t xml:space="preserve"> – </w:t>
      </w:r>
      <w:r>
        <w:rPr>
          <w:color w:themeColor="text1" w:val="000000"/>
          <w:sz w:val="20"/>
        </w:rPr>
        <w:t>денежные средства в валюте Российской Федерации (рубли).</w:t>
      </w:r>
    </w:p>
    <w:p>
      <w:pPr>
        <w:pStyle w:val="14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10. Обременения имущества</w:t>
      </w:r>
      <w:r>
        <w:rPr>
          <w:color w:themeColor="text1" w:val="000000"/>
          <w:sz w:val="20"/>
        </w:rPr>
        <w:t xml:space="preserve"> – нет.</w:t>
      </w:r>
    </w:p>
    <w:p>
      <w:pPr>
        <w:pStyle w:val="Normal"/>
        <w:ind w:firstLine="567"/>
        <w:jc w:val="center"/>
        <w:rPr>
          <w:b/>
          <w:color w:themeColor="text1" w:val="000000"/>
        </w:rPr>
      </w:pPr>
      <w:r>
        <w:rPr>
          <w:b/>
          <w:color w:themeColor="text1" w:val="000000"/>
        </w:rPr>
      </w:r>
    </w:p>
    <w:p>
      <w:pPr>
        <w:pStyle w:val="Normal"/>
        <w:ind w:firstLine="567"/>
        <w:jc w:val="center"/>
        <w:rPr>
          <w:b/>
          <w:color w:themeColor="text1" w:val="000000"/>
        </w:rPr>
      </w:pPr>
      <w:r>
        <w:rPr>
          <w:b/>
          <w:color w:themeColor="text1" w:val="000000"/>
        </w:rPr>
        <w:t xml:space="preserve">II. </w:t>
      </w:r>
      <w:r>
        <w:rPr>
          <w:b/>
          <w:color w:themeColor="text1" w:val="000000"/>
        </w:rPr>
        <w:t>Характеристика имущества</w:t>
      </w:r>
    </w:p>
    <w:p>
      <w:pPr>
        <w:pStyle w:val="Normal"/>
        <w:jc w:val="both"/>
        <w:rPr/>
      </w:pPr>
      <w:r>
        <w:rPr>
          <w:b/>
          <w:color w:themeColor="text1" w:val="000000"/>
        </w:rPr>
        <w:t>Лот № 1</w:t>
      </w:r>
      <w:r>
        <w:rPr>
          <w:color w:themeColor="text1" w:val="000000"/>
        </w:rPr>
        <w:t>.</w:t>
      </w:r>
      <w:r>
        <w:rPr/>
        <w:t xml:space="preserve"> </w:t>
      </w:r>
      <w:r>
        <w:rPr>
          <w:rFonts w:eastAsia="Times New Roman" w:cs="Times New Roman"/>
          <w:color w:themeColor="text1" w:val="000000"/>
          <w:kern w:val="0"/>
          <w:sz w:val="20"/>
          <w:szCs w:val="20"/>
          <w:lang w:val="ru-RU" w:eastAsia="ru-RU" w:bidi="ar-SA"/>
        </w:rPr>
        <w:t>Нежилое помещение общей площадью 1468,9 кв.м. кадастровый номер 55:22:140401:152, инвентарный номер 6194, год постройки 1990 г., адрес: (местоположение) Омская область, р-н Полтавский, д Крым, ул Школьная, д 14, пом 1П, кадастровая стоимость 28087653,15 руб. Земельный участок общей площадью 14313 кв.м. кадастровый номер 55:22:140401:8,  адрес: (местоположение) Омская область, р-н Полтавский, д Крым, ул Школьная, д 14, кадастровая стоимость 815411.61 руб.</w:t>
      </w:r>
    </w:p>
    <w:p>
      <w:pPr>
        <w:pStyle w:val="Normal"/>
        <w:jc w:val="both"/>
        <w:rPr>
          <w:rFonts w:ascii="Times New Roman" w:hAnsi="Times New Roman" w:eastAsia="Times New Roman" w:cs="Times New Roman"/>
          <w:color w:themeColor="text1" w:val="000000"/>
          <w:kern w:val="0"/>
          <w:sz w:val="20"/>
          <w:szCs w:val="20"/>
          <w:lang w:val="ru-RU" w:eastAsia="ru-RU" w:bidi="ar-SA"/>
        </w:rPr>
      </w:pPr>
      <w:r>
        <w:rPr/>
      </w:r>
    </w:p>
    <w:p>
      <w:pPr>
        <w:pStyle w:val="Normal"/>
        <w:widowControl/>
        <w:suppressAutoHyphens w:val="true"/>
        <w:bidi w:val="0"/>
        <w:spacing w:before="0" w:after="0"/>
        <w:ind w:firstLine="624" w:left="0" w:right="0"/>
        <w:jc w:val="both"/>
        <w:rPr>
          <w:b/>
          <w:bCs w:val="false"/>
        </w:rPr>
      </w:pPr>
      <w:r>
        <w:rPr>
          <w:b/>
          <w:bCs w:val="false"/>
        </w:rPr>
        <w:t>Начальная цена продажи (цена первоначального предложения): 400 000,00 руб.</w:t>
      </w:r>
    </w:p>
    <w:p>
      <w:pPr>
        <w:pStyle w:val="Normal"/>
        <w:widowControl/>
        <w:suppressAutoHyphens w:val="true"/>
        <w:bidi w:val="0"/>
        <w:spacing w:before="0" w:after="0"/>
        <w:ind w:firstLine="624" w:left="0" w:right="0"/>
        <w:jc w:val="both"/>
        <w:rPr>
          <w:b/>
          <w:bCs w:val="false"/>
        </w:rPr>
      </w:pPr>
      <w:r>
        <w:rPr>
          <w:b/>
          <w:bCs w:val="false"/>
        </w:rPr>
        <w:t>Величина снижения цены первоначального предложения (шаг понижения): 40 000,00 рублей.</w:t>
      </w:r>
    </w:p>
    <w:p>
      <w:pPr>
        <w:pStyle w:val="Normal"/>
        <w:widowControl/>
        <w:suppressAutoHyphens w:val="true"/>
        <w:bidi w:val="0"/>
        <w:spacing w:before="0" w:after="0"/>
        <w:ind w:firstLine="624" w:left="0" w:right="0"/>
        <w:jc w:val="both"/>
        <w:rPr>
          <w:b/>
          <w:bCs w:val="false"/>
        </w:rPr>
      </w:pPr>
      <w:r>
        <w:rPr>
          <w:b/>
          <w:bCs w:val="false"/>
        </w:rPr>
        <w:t>Минимальная цена предложения (цена отсечения): 200 000,00 рублей.</w:t>
      </w:r>
    </w:p>
    <w:p>
      <w:pPr>
        <w:pStyle w:val="Normal"/>
        <w:widowControl/>
        <w:suppressAutoHyphens w:val="true"/>
        <w:bidi w:val="0"/>
        <w:spacing w:before="0" w:after="0"/>
        <w:ind w:firstLine="624" w:left="0" w:right="0"/>
        <w:jc w:val="both"/>
        <w:rPr>
          <w:b/>
          <w:bCs w:val="false"/>
        </w:rPr>
      </w:pPr>
      <w:r>
        <w:rPr>
          <w:b/>
          <w:bCs w:val="false"/>
        </w:rPr>
        <w:t>Величины повышения цен (шаг аукциона): 20 000,00 рублей.</w:t>
      </w:r>
    </w:p>
    <w:p>
      <w:pPr>
        <w:pStyle w:val="Normal"/>
        <w:widowControl/>
        <w:suppressAutoHyphens w:val="true"/>
        <w:bidi w:val="0"/>
        <w:spacing w:before="0" w:after="0"/>
        <w:ind w:firstLine="624" w:left="0" w:right="0"/>
        <w:jc w:val="both"/>
        <w:rPr>
          <w:b w:val="false"/>
          <w:bCs w:val="false"/>
        </w:rPr>
      </w:pPr>
      <w:r>
        <w:rPr>
          <w:b/>
          <w:bCs w:val="false"/>
        </w:rPr>
        <w:t>Сумма задатка: 40 000,00 рублей.</w:t>
      </w:r>
    </w:p>
    <w:p>
      <w:pPr>
        <w:pStyle w:val="14"/>
        <w:widowControl w:val="false"/>
        <w:ind w:firstLine="567"/>
        <w:jc w:val="both"/>
        <w:rPr>
          <w:rFonts w:eastAsia="" w:eastAsiaTheme="minorEastAsia"/>
          <w:color w:themeColor="text1" w:val="000000"/>
          <w:sz w:val="20"/>
        </w:rPr>
      </w:pPr>
      <w:r>
        <w:rPr>
          <w:rFonts w:eastAsia="" w:eastAsiaTheme="minorEastAsia"/>
          <w:color w:themeColor="text1" w:val="000000"/>
          <w:sz w:val="20"/>
        </w:rPr>
      </w:r>
    </w:p>
    <w:p>
      <w:pPr>
        <w:pStyle w:val="Normal"/>
        <w:ind w:firstLine="567"/>
        <w:jc w:val="both"/>
        <w:rPr>
          <w:color w:themeColor="text1" w:val="000000"/>
        </w:rPr>
      </w:pPr>
      <w:r>
        <w:rPr>
          <w:color w:themeColor="text1" w:val="000000"/>
        </w:rPr>
        <w:t xml:space="preserve">Аукцион проводится в соответствии с Распоряжением комитета имущественных отношений Администрации Полтавского муниципального района» </w:t>
      </w:r>
      <w:r>
        <w:rPr>
          <w:color w:themeColor="text1" w:val="000000"/>
          <w:shd w:fill="auto" w:val="clear"/>
        </w:rPr>
        <w:t>от 17.03.2025 года № 2</w:t>
      </w:r>
      <w:r>
        <w:rPr>
          <w:color w:themeColor="text1" w:val="000000"/>
          <w:shd w:fill="auto" w:val="clear"/>
        </w:rPr>
        <w:t>6</w:t>
      </w:r>
      <w:r>
        <w:rPr>
          <w:color w:themeColor="text1" w:val="000000"/>
          <w:shd w:fill="auto" w:val="clear"/>
        </w:rPr>
        <w:t>.</w:t>
      </w:r>
    </w:p>
    <w:p>
      <w:pPr>
        <w:pStyle w:val="14"/>
        <w:widowControl w:val="false"/>
        <w:ind w:firstLine="708"/>
        <w:jc w:val="center"/>
        <w:rPr>
          <w:b/>
          <w:sz w:val="20"/>
        </w:rPr>
      </w:pPr>
      <w:r>
        <w:rPr>
          <w:b/>
          <w:sz w:val="20"/>
        </w:rPr>
      </w:r>
    </w:p>
    <w:p>
      <w:pPr>
        <w:pStyle w:val="14"/>
        <w:widowControl w:val="false"/>
        <w:ind w:firstLine="708"/>
        <w:jc w:val="center"/>
        <w:rPr>
          <w:b/>
          <w:sz w:val="20"/>
        </w:rPr>
      </w:pPr>
      <w:r>
        <w:rPr>
          <w:b/>
          <w:sz w:val="20"/>
        </w:rPr>
        <w:t xml:space="preserve">III. Условия участия в продаже </w:t>
      </w:r>
    </w:p>
    <w:p>
      <w:pPr>
        <w:pStyle w:val="14"/>
        <w:widowControl w:val="false"/>
        <w:numPr>
          <w:ilvl w:val="0"/>
          <w:numId w:val="1"/>
        </w:numPr>
        <w:jc w:val="center"/>
        <w:rPr>
          <w:b/>
          <w:sz w:val="20"/>
        </w:rPr>
      </w:pPr>
      <w:r>
        <w:rPr>
          <w:b/>
          <w:sz w:val="20"/>
        </w:rPr>
        <w:t>Общие условия</w:t>
      </w:r>
    </w:p>
    <w:p>
      <w:pPr>
        <w:pStyle w:val="Normal"/>
        <w:suppressAutoHyphens w:val="false"/>
        <w:jc w:val="both"/>
        <w:rPr>
          <w:color w:themeColor="text1" w:val="000000"/>
        </w:rPr>
      </w:pPr>
      <w:r>
        <w:rPr>
          <w:color w:themeColor="text1" w:val="000000"/>
        </w:rPr>
        <w:t xml:space="preserve">         </w:t>
      </w:r>
      <w:r>
        <w:rPr>
          <w:color w:themeColor="text1" w:val="000000"/>
        </w:rPr>
        <w:t xml:space="preserve">Лицо, отвечающее признакам покупателя в соответствии с Федеральным законом «О приватизации государственного и муниципального имущества» от 21 декабря 2001 г. № 178-ФЗ, </w:t>
      </w:r>
      <w:r>
        <w:rPr>
          <w:lang w:eastAsia="ru-RU"/>
        </w:rPr>
        <w:t>Постановление Правительства РФ от 27.08.2012 N 860 "Об организации и проведении продажи государственного или муниципального имущества в электронной форме" (вместе с "Положением об организации и проведении продажи государственного или муниципального имущества в электронной форме")</w:t>
      </w:r>
      <w:r>
        <w:rPr>
          <w:color w:themeColor="text1" w:val="000000"/>
        </w:rPr>
        <w:t xml:space="preserve"> и желающее приобрести Имущество (далее – Претендент), обязано осуществить следующие действия:</w:t>
      </w:r>
    </w:p>
    <w:p>
      <w:pPr>
        <w:pStyle w:val="2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val="000000"/>
          <w:sz w:val="20"/>
        </w:rPr>
        <w:t>- в установленном порядке зарегистрировать заявку на электронной площадке по утвержденной Продавцом форме</w:t>
      </w:r>
      <w:r>
        <w:rPr>
          <w:color w:themeColor="text1" w:val="000000"/>
          <w:sz w:val="20"/>
        </w:rPr>
        <w:t xml:space="preserve"> с полным комплектом требуемых для участия в аукционе документов</w:t>
      </w:r>
      <w:r>
        <w:rPr>
          <w:color w:val="000000"/>
          <w:sz w:val="20"/>
        </w:rPr>
        <w:t>;</w:t>
      </w:r>
    </w:p>
    <w:p>
      <w:pPr>
        <w:pStyle w:val="2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- внести задаток на счет Продавца в указанном в настоящем информационном сообщении порядке.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форме;</w:t>
      </w:r>
    </w:p>
    <w:p>
      <w:pPr>
        <w:pStyle w:val="2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    </w:t>
      </w:r>
      <w:r>
        <w:rPr>
          <w:color w:themeColor="text1" w:val="000000"/>
          <w:sz w:val="20"/>
        </w:rPr>
        <w:t>Ограничений участия отдельных категорий физических и юридических лиц, в том числе иностранных не установлено.</w:t>
      </w:r>
    </w:p>
    <w:p>
      <w:pPr>
        <w:pStyle w:val="2"/>
        <w:widowControl w:val="false"/>
        <w:jc w:val="both"/>
        <w:rPr>
          <w:sz w:val="20"/>
        </w:rPr>
      </w:pPr>
      <w:r>
        <w:rPr>
          <w:color w:themeColor="text1" w:val="000000"/>
          <w:sz w:val="20"/>
        </w:rPr>
        <w:t xml:space="preserve">           </w:t>
      </w:r>
      <w:r>
        <w:rPr>
          <w:sz w:val="20"/>
        </w:rPr>
        <w:t>Обязанность доказать свое право на участие в продаже возлагается на Претендента.</w:t>
      </w:r>
    </w:p>
    <w:p>
      <w:pPr>
        <w:pStyle w:val="14"/>
        <w:widowControl w:val="false"/>
        <w:ind w:firstLine="284"/>
        <w:jc w:val="both"/>
        <w:rPr>
          <w:sz w:val="20"/>
        </w:rPr>
      </w:pPr>
      <w:r>
        <w:rPr>
          <w:sz w:val="20"/>
        </w:rPr>
      </w:r>
    </w:p>
    <w:p>
      <w:pPr>
        <w:pStyle w:val="14"/>
        <w:widowControl w:val="false"/>
        <w:ind w:firstLine="284"/>
        <w:jc w:val="center"/>
        <w:rPr>
          <w:b/>
          <w:sz w:val="20"/>
        </w:rPr>
      </w:pPr>
      <w:r>
        <w:rPr>
          <w:b/>
          <w:sz w:val="20"/>
        </w:rPr>
        <w:t>2. Порядок внесения задатка и его возврата</w:t>
      </w:r>
    </w:p>
    <w:p>
      <w:pPr>
        <w:pStyle w:val="Normal"/>
        <w:jc w:val="both"/>
        <w:rPr>
          <w:color w:themeColor="text1" w:val="000000"/>
        </w:rPr>
      </w:pPr>
      <w:r>
        <w:rPr>
          <w:color w:themeColor="text1" w:val="000000"/>
        </w:rPr>
        <w:t xml:space="preserve">                       </w:t>
      </w:r>
      <w:r>
        <w:rPr>
          <w:color w:themeColor="text1" w:val="000000"/>
        </w:rPr>
        <w:t xml:space="preserve">Задаток вносится единым платежом на расчетный  счет торговой площадки  Единая электронная торговая площадка </w:t>
      </w:r>
      <w:hyperlink r:id="rId2">
        <w:r>
          <w:rPr>
            <w:rStyle w:val="Style8"/>
            <w:color w:themeColor="text1" w:val="000000"/>
          </w:rPr>
          <w:t>www.roseltorg.ru</w:t>
        </w:r>
      </w:hyperlink>
      <w:r>
        <w:rPr>
          <w:color w:themeColor="text1" w:val="000000"/>
        </w:rPr>
        <w:t xml:space="preserve"> до окончания приема заявок и должен поступить на указанный счет не позднее даты окончания приема заявок.  </w:t>
      </w:r>
    </w:p>
    <w:p>
      <w:pPr>
        <w:pStyle w:val="Normal"/>
        <w:jc w:val="both"/>
        <w:rPr>
          <w:color w:themeColor="text1" w:val="000000"/>
        </w:rPr>
      </w:pPr>
      <w:r>
        <w:rPr>
          <w:color w:themeColor="text1" w:val="000000"/>
        </w:rPr>
        <w:t xml:space="preserve">            </w:t>
      </w:r>
      <w:r>
        <w:rPr>
          <w:color w:themeColor="text1" w:val="000000"/>
        </w:rPr>
        <w:t xml:space="preserve">Данное сообщение является публичной офертой для заключения договора о задатке в соответствии со </w:t>
      </w:r>
      <w:hyperlink r:id="rId3">
        <w:r>
          <w:rPr>
            <w:rStyle w:val="Style8"/>
            <w:color w:themeColor="text1" w:val="000000"/>
          </w:rPr>
          <w:t>статьей 437</w:t>
        </w:r>
      </w:hyperlink>
      <w:r>
        <w:rPr>
          <w:color w:themeColor="text1" w:val="000000"/>
        </w:rPr>
        <w:t xml:space="preserve">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>
      <w:pPr>
        <w:pStyle w:val="2"/>
        <w:widowControl w:val="false"/>
        <w:tabs>
          <w:tab w:val="clear" w:pos="708"/>
          <w:tab w:val="left" w:pos="1400" w:leader="none"/>
          <w:tab w:val="left" w:pos="5162" w:leader="none"/>
        </w:tabs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В соответствии с Федеральным законом от 21.11.2008г. № 224-ФЗ покупатели муниципального имущества, за исключением физических лиц, не являющихся индивидуальными предпринимателями, обязаны уплатить в бюджет сумму налога на добавленную стоимость. </w:t>
      </w:r>
    </w:p>
    <w:p>
      <w:pPr>
        <w:pStyle w:val="2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</w:t>
      </w:r>
      <w:r>
        <w:rPr>
          <w:color w:themeColor="text1" w:val="000000"/>
          <w:sz w:val="20"/>
        </w:rPr>
        <w:t>Задаток возвращается в любых случаях, в течение 5 дней со дня совершения соответствующего события, кроме случаев:</w:t>
      </w:r>
    </w:p>
    <w:p>
      <w:pPr>
        <w:pStyle w:val="2"/>
        <w:widowControl w:val="false"/>
        <w:ind w:hanging="360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</w:t>
      </w:r>
      <w:r>
        <w:rPr>
          <w:color w:themeColor="text1" w:val="000000"/>
          <w:sz w:val="20"/>
        </w:rPr>
        <w:t xml:space="preserve">-  когда Победитель аукциона не подписывает протокол по итогам аукциона; </w:t>
      </w:r>
    </w:p>
    <w:p>
      <w:pPr>
        <w:pStyle w:val="2"/>
        <w:widowControl w:val="false"/>
        <w:ind w:hanging="360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</w:t>
      </w:r>
      <w:r>
        <w:rPr>
          <w:color w:themeColor="text1" w:val="000000"/>
          <w:sz w:val="20"/>
        </w:rPr>
        <w:t xml:space="preserve">-  когда Победитель аукциона отказывается от заключения договора купли-продажи; </w:t>
      </w:r>
    </w:p>
    <w:p>
      <w:pPr>
        <w:pStyle w:val="2"/>
        <w:widowControl w:val="false"/>
        <w:ind w:hanging="360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 xml:space="preserve">       </w:t>
      </w:r>
      <w:r>
        <w:rPr>
          <w:color w:themeColor="text1" w:val="000000"/>
          <w:sz w:val="20"/>
        </w:rPr>
        <w:t>-  когда Покупатель, заключив договор купли-продажи, отказывается от оплаты.</w:t>
      </w:r>
    </w:p>
    <w:p>
      <w:pPr>
        <w:pStyle w:val="14"/>
        <w:widowControl w:val="false"/>
        <w:ind w:firstLine="708"/>
        <w:jc w:val="center"/>
        <w:rPr>
          <w:b/>
          <w:color w:themeColor="text1" w:val="000000"/>
          <w:sz w:val="20"/>
        </w:rPr>
      </w:pPr>
      <w:r>
        <w:rPr>
          <w:b/>
          <w:color w:themeColor="text1" w:val="000000"/>
          <w:sz w:val="20"/>
        </w:rPr>
      </w:r>
    </w:p>
    <w:p>
      <w:pPr>
        <w:pStyle w:val="14"/>
        <w:widowControl w:val="false"/>
        <w:tabs>
          <w:tab w:val="clear" w:pos="708"/>
          <w:tab w:val="right" w:pos="9461" w:leader="none"/>
        </w:tabs>
        <w:jc w:val="both"/>
        <w:rPr>
          <w:b/>
          <w:color w:themeColor="text1" w:val="000000"/>
          <w:sz w:val="20"/>
        </w:rPr>
      </w:pPr>
      <w:r>
        <w:rPr>
          <w:sz w:val="20"/>
        </w:rPr>
        <w:tab/>
      </w:r>
    </w:p>
    <w:p>
      <w:pPr>
        <w:pStyle w:val="14"/>
        <w:widowControl w:val="false"/>
        <w:tabs>
          <w:tab w:val="clear" w:pos="708"/>
          <w:tab w:val="right" w:pos="9461" w:leader="none"/>
        </w:tabs>
        <w:jc w:val="center"/>
        <w:rPr>
          <w:b/>
          <w:i/>
          <w:i/>
          <w:color w:themeColor="text1" w:val="000000"/>
          <w:sz w:val="20"/>
        </w:rPr>
      </w:pPr>
      <w:r>
        <w:rPr>
          <w:b/>
          <w:i/>
          <w:color w:themeColor="text1" w:val="000000"/>
          <w:sz w:val="20"/>
        </w:rPr>
        <w:t>IV. Порядок регистрации на электронной площадке</w:t>
      </w:r>
    </w:p>
    <w:p>
      <w:pPr>
        <w:pStyle w:val="2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>
      <w:pPr>
        <w:pStyle w:val="2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Регистрация на электронной площадке осуществляется без взимания платы.</w:t>
      </w:r>
    </w:p>
    <w:p>
      <w:pPr>
        <w:pStyle w:val="2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>
      <w:pPr>
        <w:pStyle w:val="2"/>
        <w:widowControl w:val="false"/>
        <w:ind w:firstLine="567"/>
        <w:jc w:val="both"/>
        <w:rPr>
          <w:color w:val="000000"/>
          <w:sz w:val="20"/>
        </w:rPr>
      </w:pPr>
      <w:r>
        <w:rPr>
          <w:color w:val="000000"/>
          <w:sz w:val="20"/>
        </w:rPr>
        <w:t>Регистрация на электронной площадке проводится в соответствии с Регламентом электронной площадки.</w:t>
      </w:r>
    </w:p>
    <w:p>
      <w:pPr>
        <w:pStyle w:val="14"/>
        <w:widowControl w:val="false"/>
        <w:rPr>
          <w:b/>
          <w:i/>
          <w:i/>
          <w:sz w:val="20"/>
        </w:rPr>
      </w:pPr>
      <w:r>
        <w:rPr>
          <w:b/>
          <w:i/>
          <w:sz w:val="20"/>
        </w:rPr>
      </w:r>
    </w:p>
    <w:p>
      <w:pPr>
        <w:pStyle w:val="14"/>
        <w:widowControl w:val="false"/>
        <w:jc w:val="center"/>
        <w:rPr>
          <w:b/>
          <w:sz w:val="20"/>
        </w:rPr>
      </w:pPr>
      <w:r>
        <w:rPr>
          <w:b/>
          <w:sz w:val="20"/>
        </w:rPr>
        <w:t>3. Порядок подачи заявок на участие в продаже</w:t>
      </w:r>
    </w:p>
    <w:p>
      <w:pPr>
        <w:pStyle w:val="2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необходимых документов, предусмотренных Федеральным законом о приватизации.</w:t>
      </w:r>
    </w:p>
    <w:p>
      <w:pPr>
        <w:pStyle w:val="2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Заявки с прилагаемыми к ним документами принимаются и регистрируются в электронных журналах заявок и прилагаемых к ним документов (в журнале приема заявок). Каждой заявке присваивается номер с указанием даты и времени приема.</w:t>
      </w:r>
    </w:p>
    <w:p>
      <w:pPr>
        <w:pStyle w:val="14"/>
        <w:widowControl w:val="false"/>
        <w:ind w:firstLine="284"/>
        <w:jc w:val="both"/>
        <w:rPr>
          <w:b/>
          <w:i/>
          <w:i/>
          <w:sz w:val="20"/>
        </w:rPr>
      </w:pPr>
      <w:r>
        <w:rPr>
          <w:b/>
          <w:i/>
          <w:sz w:val="20"/>
        </w:rPr>
      </w:r>
    </w:p>
    <w:p>
      <w:pPr>
        <w:pStyle w:val="14"/>
        <w:widowControl w:val="false"/>
        <w:jc w:val="center"/>
        <w:rPr>
          <w:b/>
          <w:sz w:val="20"/>
        </w:rPr>
      </w:pPr>
      <w:r>
        <w:rPr>
          <w:b/>
          <w:sz w:val="20"/>
        </w:rPr>
        <w:t>4. Перечень требуемых для участия в продаже документов и требования к их оформлению</w:t>
      </w:r>
    </w:p>
    <w:p>
      <w:pPr>
        <w:pStyle w:val="14"/>
        <w:widowControl w:val="false"/>
        <w:ind w:firstLine="567"/>
        <w:jc w:val="both"/>
        <w:rPr>
          <w:color w:themeColor="text1" w:val="000000"/>
          <w:sz w:val="20"/>
        </w:rPr>
      </w:pPr>
      <w:r>
        <w:rPr>
          <w:rFonts w:cs="Arial" w:ascii="Arial" w:hAnsi="Arial"/>
          <w:sz w:val="20"/>
        </w:rPr>
        <w:t xml:space="preserve"> </w:t>
      </w:r>
      <w:r>
        <w:rPr>
          <w:color w:themeColor="text1" w:val="000000"/>
          <w:sz w:val="20"/>
        </w:rPr>
        <w:t>1. Одновременно с заявкой претенденты представляют следующие документы в электронном виде:</w:t>
      </w:r>
    </w:p>
    <w:p>
      <w:pPr>
        <w:pStyle w:val="14"/>
        <w:widowControl w:val="false"/>
        <w:jc w:val="both"/>
        <w:rPr>
          <w:color w:themeColor="text1" w:val="000000"/>
          <w:sz w:val="20"/>
        </w:rPr>
      </w:pPr>
      <w:r>
        <w:rPr>
          <w:color w:themeColor="text1" w:val="000000"/>
          <w:sz w:val="20"/>
        </w:rPr>
        <w:t>юридические лица: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заверенные копии учредительных документов;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 xml:space="preserve">физические лица предъявляют </w:t>
      </w:r>
      <w:hyperlink r:id="rId4">
        <w:r>
          <w:rPr>
            <w:rStyle w:val="Style8"/>
            <w:color w:themeColor="text1" w:val="000000"/>
          </w:rPr>
          <w:t>документ</w:t>
        </w:r>
      </w:hyperlink>
      <w:r>
        <w:rPr>
          <w:color w:themeColor="text1" w:val="000000"/>
        </w:rPr>
        <w:t>, удостоверяющий личность, или представляют копии всех его листов.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2. 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(для юридического лица) и подписаны претендентом или его представителем.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 xml:space="preserve">К данным документам (в том числе к каждому тому) также прилагается их опись. 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 При этом ненадлежащее исполнение претендентом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претенденту в участии в продаже.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  <w:t>Не допускается устанавливать иные требования к документам, представляемым одновременно с заявкой, за исключением требований, предусмотренных настоящей статьей, а также требовать представление иных документов.</w:t>
      </w:r>
    </w:p>
    <w:p>
      <w:pPr>
        <w:pStyle w:val="Normal"/>
        <w:ind w:firstLine="540"/>
        <w:jc w:val="both"/>
        <w:rPr>
          <w:color w:themeColor="text1" w:val="000000"/>
        </w:rPr>
      </w:pPr>
      <w:r>
        <w:rPr>
          <w:color w:themeColor="text1" w:val="000000"/>
        </w:rPr>
      </w:r>
    </w:p>
    <w:p>
      <w:pPr>
        <w:pStyle w:val="14"/>
        <w:widowControl w:val="false"/>
        <w:ind w:firstLine="709"/>
        <w:jc w:val="center"/>
        <w:rPr>
          <w:b/>
          <w:sz w:val="20"/>
        </w:rPr>
      </w:pPr>
      <w:r>
        <w:rPr>
          <w:b/>
          <w:sz w:val="20"/>
          <w:lang w:val="en-US"/>
        </w:rPr>
        <w:t>V</w:t>
      </w:r>
      <w:r>
        <w:rPr>
          <w:b/>
          <w:sz w:val="20"/>
        </w:rPr>
        <w:t>. Определение участников продажи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Для участия в продаже имущества посредством публичного предложения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продаже имущества посредством публичного предложения.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В день определения участников, указанный в информационном сообщении о продаже имущества посредством публичного предложения, оператор электронной площадки через "личный кабинет" продавца обеспечивает доступ продавца к поданным претендентами заявкам и прилагаемым к ним документам, а также к журналу приема заявок.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направляются уведомления о признании их участниками или об отказе в таком признании с указанием оснований отказа.</w:t>
      </w:r>
    </w:p>
    <w:p>
      <w:pPr>
        <w:pStyle w:val="Normal"/>
        <w:suppressAutoHyphens w:val="false"/>
        <w:jc w:val="both"/>
        <w:rPr>
          <w:lang w:eastAsia="ru-RU"/>
        </w:rPr>
      </w:pPr>
      <w:r>
        <w:rPr>
          <w:lang w:eastAsia="ru-RU"/>
        </w:rPr>
        <w:t>Информация о претендентах, не допущенных к участию в продаже имущества посредством публичного предложения, размещается в открытой части электронной площадки, на официальном сайте в сети "Интернет"</w:t>
      </w:r>
    </w:p>
    <w:p>
      <w:pPr>
        <w:pStyle w:val="14"/>
        <w:widowControl w:val="false"/>
        <w:tabs>
          <w:tab w:val="clear" w:pos="708"/>
          <w:tab w:val="left" w:pos="506" w:leader="none"/>
        </w:tabs>
        <w:ind w:firstLine="567"/>
        <w:jc w:val="both"/>
        <w:rPr>
          <w:sz w:val="20"/>
        </w:rPr>
      </w:pPr>
      <w:r>
        <w:rPr>
          <w:sz w:val="20"/>
        </w:rPr>
        <w:t>Претендент не допускается к участию в продаже по следующим основаниям:</w:t>
      </w:r>
    </w:p>
    <w:p>
      <w:pPr>
        <w:pStyle w:val="14"/>
        <w:widowControl w:val="false"/>
        <w:tabs>
          <w:tab w:val="clear" w:pos="708"/>
          <w:tab w:val="left" w:pos="506" w:leader="none"/>
        </w:tabs>
        <w:jc w:val="both"/>
        <w:rPr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>1)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>
      <w:pPr>
        <w:pStyle w:val="Normal"/>
        <w:jc w:val="both"/>
        <w:rPr/>
      </w:pPr>
      <w:r>
        <w:rPr/>
        <w:t xml:space="preserve">          </w:t>
      </w:r>
      <w:r>
        <w:rPr/>
        <w:t>2) представлены не все документы в соответствии с перечнем, указанным в информационном сообщении о продаже государственного имущества, либо оформление указанных документов не соответствует законодательству Российской Федерации;</w:t>
      </w:r>
    </w:p>
    <w:p>
      <w:pPr>
        <w:pStyle w:val="14"/>
        <w:widowControl w:val="false"/>
        <w:tabs>
          <w:tab w:val="clear" w:pos="708"/>
          <w:tab w:val="left" w:pos="506" w:leader="none"/>
        </w:tabs>
        <w:jc w:val="both"/>
        <w:rPr>
          <w:sz w:val="20"/>
        </w:rPr>
      </w:pPr>
      <w:r>
        <w:rPr>
          <w:sz w:val="20"/>
        </w:rPr>
        <w:t xml:space="preserve">         </w:t>
      </w:r>
      <w:r>
        <w:rPr>
          <w:sz w:val="20"/>
        </w:rPr>
        <w:t>3) заявка на участие в продаже посредством публичного предложения подана лицом, не уполномоченным претендентом на осуществление таких действий;</w:t>
      </w:r>
    </w:p>
    <w:p>
      <w:pPr>
        <w:pStyle w:val="14"/>
        <w:widowControl w:val="false"/>
        <w:tabs>
          <w:tab w:val="clear" w:pos="708"/>
          <w:tab w:val="left" w:pos="506" w:leader="none"/>
        </w:tabs>
        <w:jc w:val="both"/>
        <w:rPr>
          <w:sz w:val="20"/>
        </w:rPr>
      </w:pPr>
      <w:r>
        <w:rPr>
          <w:sz w:val="20"/>
        </w:rPr>
        <w:t xml:space="preserve">         </w:t>
      </w:r>
      <w:r>
        <w:rPr>
          <w:sz w:val="20"/>
        </w:rPr>
        <w:t>4) поступление в установленный срок задатка на счет, указанный в настоящем информационном сообщении, не подтверждено.</w:t>
      </w:r>
    </w:p>
    <w:p>
      <w:pPr>
        <w:pStyle w:val="14"/>
        <w:widowControl w:val="false"/>
        <w:tabs>
          <w:tab w:val="clear" w:pos="708"/>
          <w:tab w:val="left" w:pos="506" w:leader="none"/>
        </w:tabs>
        <w:ind w:firstLine="142"/>
        <w:jc w:val="both"/>
        <w:rPr>
          <w:sz w:val="20"/>
        </w:rPr>
      </w:pPr>
      <w:r>
        <w:rPr>
          <w:sz w:val="20"/>
        </w:rPr>
        <w:t xml:space="preserve">        </w:t>
      </w:r>
      <w:r>
        <w:rPr>
          <w:sz w:val="20"/>
        </w:rPr>
        <w:t>Настоящий перечень оснований отказа Претенденту в участии в продаже является исчерпывающим.</w:t>
      </w:r>
    </w:p>
    <w:p>
      <w:pPr>
        <w:pStyle w:val="14"/>
        <w:widowControl w:val="false"/>
        <w:tabs>
          <w:tab w:val="clear" w:pos="708"/>
          <w:tab w:val="left" w:pos="506" w:leader="none"/>
        </w:tabs>
        <w:ind w:firstLine="567"/>
        <w:jc w:val="both"/>
        <w:rPr>
          <w:sz w:val="20"/>
        </w:rPr>
      </w:pPr>
      <w:r>
        <w:rPr>
          <w:sz w:val="20"/>
        </w:rPr>
        <w:t>Претендент  приобретает статус участника продажи с момента оформления Продавцом  протокола о признании Претендентов участниками продажи.</w:t>
      </w:r>
    </w:p>
    <w:p>
      <w:pPr>
        <w:pStyle w:val="14"/>
        <w:widowControl w:val="false"/>
        <w:tabs>
          <w:tab w:val="clear" w:pos="708"/>
          <w:tab w:val="left" w:pos="284" w:leader="none"/>
        </w:tabs>
        <w:jc w:val="center"/>
        <w:rPr>
          <w:b/>
          <w:sz w:val="20"/>
        </w:rPr>
      </w:pPr>
      <w:r>
        <w:rPr>
          <w:b/>
          <w:sz w:val="20"/>
        </w:rPr>
      </w:r>
    </w:p>
    <w:p>
      <w:pPr>
        <w:pStyle w:val="14"/>
        <w:widowControl w:val="false"/>
        <w:tabs>
          <w:tab w:val="clear" w:pos="708"/>
          <w:tab w:val="left" w:pos="284" w:leader="none"/>
        </w:tabs>
        <w:jc w:val="center"/>
        <w:rPr>
          <w:b/>
          <w:sz w:val="20"/>
        </w:rPr>
      </w:pPr>
      <w:r>
        <w:rPr>
          <w:b/>
          <w:sz w:val="20"/>
          <w:lang w:val="en-US"/>
        </w:rPr>
        <w:t>VI</w:t>
      </w:r>
      <w:r>
        <w:rPr>
          <w:b/>
          <w:sz w:val="20"/>
        </w:rPr>
        <w:t>. Порядок продажи посредством публичного предложения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"шага понижения", но не ниже цены отсечения.</w:t>
      </w:r>
    </w:p>
    <w:p>
      <w:pPr>
        <w:pStyle w:val="Normal"/>
        <w:suppressAutoHyphens w:val="false"/>
        <w:ind w:firstLine="540"/>
        <w:jc w:val="both"/>
        <w:rPr>
          <w:lang w:eastAsia="ru-RU"/>
        </w:rPr>
      </w:pPr>
      <w:r>
        <w:rPr>
          <w:lang w:eastAsia="ru-RU"/>
        </w:rPr>
        <w:t>"Шаг понижения"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"шаге понижения".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"шагов понижения", со всеми участниками проводится аукцион в порядке, установленном </w:t>
      </w:r>
      <w:r>
        <w:rPr/>
        <w:t>правилам проведения аукциона, предусматривающим открытую форму подачи предложений о цене имущества</w:t>
      </w:r>
      <w:r>
        <w:rPr>
          <w:lang w:eastAsia="ru-RU"/>
        </w:rPr>
        <w:t>. Начальной ценой имущества на аукционе является соответственно цена первоначального предложения или цена предложения, сложившаяся на данном "шаге понижения". Время приема предложений участников о цене имущества составляет 10 минут. "Шаг аукциона" устанавливается продавцом в фиксированной сумме, составляющей не более 50 процентов "шага понижения", и не изменяется в течение всей процедуры продажи имущества посредством публичного предложения.</w:t>
      </w:r>
    </w:p>
    <w:p>
      <w:pPr>
        <w:pStyle w:val="Normal"/>
        <w:suppressAutoHyphens w:val="false"/>
        <w:ind w:firstLine="540"/>
        <w:jc w:val="both"/>
        <w:rPr>
          <w:lang w:eastAsia="ru-RU"/>
        </w:rPr>
      </w:pPr>
      <w:r>
        <w:rPr>
          <w:lang w:eastAsia="ru-RU"/>
        </w:rPr>
        <w:t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</w:t>
      </w:r>
    </w:p>
    <w:p>
      <w:pPr>
        <w:pStyle w:val="Normal"/>
        <w:ind w:firstLine="540"/>
        <w:jc w:val="both"/>
        <w:rPr/>
      </w:pPr>
      <w:r>
        <w:rPr/>
        <w:t>Продажа посредством публичного предложения, в которой принял участие только один участник, признается несостоявшейся.</w:t>
      </w:r>
    </w:p>
    <w:p>
      <w:pPr>
        <w:pStyle w:val="Normal"/>
        <w:ind w:firstLine="540"/>
        <w:jc w:val="both"/>
        <w:rPr/>
      </w:pPr>
      <w:r>
        <w:rPr/>
        <w:t>Суммы задатков возвращаются участникам продажи посредством публичного предложения, за исключением победителя такой продажи, в течение пяти дней с даты подведения ее итогов.</w:t>
      </w:r>
    </w:p>
    <w:p>
      <w:pPr>
        <w:pStyle w:val="14"/>
        <w:widowControl w:val="false"/>
        <w:tabs>
          <w:tab w:val="clear" w:pos="708"/>
          <w:tab w:val="left" w:pos="284" w:leader="none"/>
        </w:tabs>
        <w:spacing w:before="240" w:after="0"/>
        <w:jc w:val="center"/>
        <w:rPr>
          <w:b/>
          <w:sz w:val="20"/>
        </w:rPr>
      </w:pPr>
      <w:r>
        <w:rPr>
          <w:b/>
          <w:sz w:val="20"/>
          <w:lang w:val="en-US"/>
        </w:rPr>
        <w:t>VII</w:t>
      </w:r>
      <w:r>
        <w:rPr>
          <w:b/>
          <w:sz w:val="20"/>
        </w:rPr>
        <w:t xml:space="preserve">. Порядок заключения договора купли-продажи 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Не позднее чем через 5 рабочих дней с даты проведения продажи с победителем заключается договор купли-продажи имущества.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При уклонении или отказе победителя от заключения в установленный срок договора купли-продажи имущества результаты продажи имущества посредством публичного предложения аннулируются продавцом, победитель утрачивает право на заключение указанного договора, задаток ему не возвращается.</w:t>
      </w:r>
    </w:p>
    <w:p>
      <w:pPr>
        <w:pStyle w:val="Normal"/>
        <w:suppressAutoHyphens w:val="false"/>
        <w:ind w:firstLine="540"/>
        <w:jc w:val="both"/>
        <w:rPr/>
      </w:pPr>
      <w:r>
        <w:rPr/>
        <w:t xml:space="preserve"> </w:t>
      </w:r>
      <w:r>
        <w:rPr/>
        <w:t>Оплата Имущества Покупателем производится в порядке и сроки, которые установлены  договором купли-продажи Задаток, перечисленный Покупателем для участия в аукционе, засчитывается в счет оплаты приобретаемого Имущества.</w:t>
      </w:r>
    </w:p>
    <w:p>
      <w:pPr>
        <w:pStyle w:val="Normal"/>
        <w:suppressAutoHyphens w:val="false"/>
        <w:ind w:firstLine="567"/>
        <w:jc w:val="both"/>
        <w:rPr>
          <w:lang w:eastAsia="ru-RU"/>
        </w:rPr>
      </w:pPr>
      <w:r>
        <w:rPr>
          <w:lang w:eastAsia="ru-RU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>
      <w:pPr>
        <w:pStyle w:val="Normal"/>
        <w:suppressAutoHyphens w:val="false"/>
        <w:ind w:firstLine="540"/>
        <w:jc w:val="both"/>
        <w:rPr>
          <w:lang w:eastAsia="ru-RU"/>
        </w:rPr>
      </w:pPr>
      <w:r>
        <w:rPr>
          <w:lang w:eastAsia="ru-RU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>
      <w:pPr>
        <w:pStyle w:val="Normal"/>
        <w:suppressAutoHyphens w:val="false"/>
        <w:ind w:firstLine="540"/>
        <w:jc w:val="both"/>
        <w:rPr/>
      </w:pPr>
      <w:r>
        <w:rPr/>
      </w:r>
    </w:p>
    <w:p>
      <w:pPr>
        <w:pStyle w:val="14"/>
        <w:widowControl w:val="false"/>
        <w:jc w:val="center"/>
        <w:rPr>
          <w:b/>
          <w:sz w:val="20"/>
        </w:rPr>
      </w:pPr>
      <w:r>
        <w:rPr>
          <w:b/>
          <w:sz w:val="20"/>
          <w:lang w:val="en-US"/>
        </w:rPr>
        <w:t>VIII</w:t>
      </w:r>
      <w:r>
        <w:rPr>
          <w:b/>
          <w:sz w:val="20"/>
        </w:rPr>
        <w:t xml:space="preserve">. Переход права собственности </w:t>
      </w:r>
    </w:p>
    <w:p>
      <w:pPr>
        <w:pStyle w:val="14"/>
        <w:widowControl w:val="false"/>
        <w:ind w:firstLine="720"/>
        <w:jc w:val="both"/>
        <w:rPr>
          <w:sz w:val="20"/>
        </w:rPr>
      </w:pPr>
      <w:r>
        <w:rPr>
          <w:sz w:val="20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 возлагаются на покупателя.</w:t>
      </w:r>
    </w:p>
    <w:p>
      <w:pPr>
        <w:pStyle w:val="14"/>
        <w:widowControl w:val="false"/>
        <w:tabs>
          <w:tab w:val="clear" w:pos="708"/>
          <w:tab w:val="left" w:pos="567" w:leader="none"/>
        </w:tabs>
        <w:jc w:val="center"/>
        <w:rPr>
          <w:b/>
          <w:sz w:val="20"/>
        </w:rPr>
      </w:pPr>
      <w:r>
        <w:rPr>
          <w:b/>
          <w:sz w:val="20"/>
          <w:lang w:val="en-US"/>
        </w:rPr>
        <w:t>IX</w:t>
      </w:r>
      <w:r>
        <w:rPr>
          <w:b/>
          <w:sz w:val="20"/>
        </w:rPr>
        <w:t>. Заключительные положения</w:t>
      </w:r>
    </w:p>
    <w:p>
      <w:pPr>
        <w:pStyle w:val="BodyTextIndent"/>
        <w:ind w:hanging="0"/>
        <w:jc w:val="both"/>
        <w:rPr>
          <w:sz w:val="20"/>
        </w:rPr>
      </w:pPr>
      <w:r>
        <w:rPr>
          <w:sz w:val="20"/>
        </w:rPr>
        <w:tab/>
        <w:t>Все иные вопросы, касающиеся проведения продажи имущества, не нашедшие отражения в настоящем информационном сообщении, регулируются действующим законодательством Российской Федерации.</w:t>
      </w:r>
    </w:p>
    <w:p>
      <w:pPr>
        <w:pStyle w:val="BodyTextIndent"/>
        <w:ind w:hanging="0"/>
        <w:jc w:val="both"/>
        <w:rPr>
          <w:sz w:val="20"/>
        </w:rPr>
      </w:pPr>
      <w:r>
        <w:rPr>
          <w:sz w:val="20"/>
        </w:rPr>
        <w:t xml:space="preserve">Информация о продаже размещена на  сайте продавца </w:t>
      </w:r>
      <w:hyperlink r:id="rId5">
        <w:r>
          <w:rPr>
            <w:rStyle w:val="Hyperlink"/>
            <w:rFonts w:eastAsia="Times New Roman" w:cs="Times New Roman"/>
            <w:color w:val="auto"/>
            <w:kern w:val="0"/>
            <w:sz w:val="20"/>
            <w:szCs w:val="20"/>
            <w:u w:val="none"/>
            <w:lang w:val="ru-RU" w:eastAsia="ar-SA" w:bidi="ar-SA"/>
          </w:rPr>
          <w:t>www</w:t>
        </w:r>
      </w:hyperlink>
      <w:r>
        <w:rPr>
          <w:rStyle w:val="Hyperlink"/>
          <w:rFonts w:eastAsia="Times New Roman" w:cs="Times New Roman"/>
          <w:color w:val="auto"/>
          <w:kern w:val="0"/>
          <w:sz w:val="20"/>
          <w:szCs w:val="20"/>
          <w:lang w:val="ru-RU" w:eastAsia="ar-SA" w:bidi="ar-SA"/>
        </w:rPr>
        <w:t>.</w:t>
      </w:r>
      <w:r>
        <w:rPr>
          <w:rStyle w:val="Hyperlink"/>
          <w:rFonts w:eastAsia="Times New Roman" w:cs="Times New Roman"/>
          <w:color w:val="auto"/>
          <w:kern w:val="0"/>
          <w:sz w:val="20"/>
          <w:szCs w:val="20"/>
          <w:u w:val="none"/>
          <w:lang w:val="ru-RU" w:eastAsia="ar-SA" w:bidi="ar-SA"/>
        </w:rPr>
        <w:t>gosweb.gosuslugi.ru</w:t>
      </w:r>
      <w:r>
        <w:rPr>
          <w:rFonts w:eastAsia="Times New Roman" w:cs="Times New Roman"/>
          <w:color w:val="auto"/>
          <w:kern w:val="0"/>
          <w:sz w:val="20"/>
          <w:szCs w:val="20"/>
          <w:lang w:val="ru-RU" w:eastAsia="ar-SA" w:bidi="ar-SA"/>
        </w:rPr>
        <w:t xml:space="preserve"> и на сайте </w:t>
      </w:r>
      <w:hyperlink r:id="rId6">
        <w:r>
          <w:rPr>
            <w:rStyle w:val="Style8"/>
            <w:rFonts w:eastAsia="Times New Roman" w:cs="Times New Roman"/>
            <w:color w:val="auto"/>
            <w:kern w:val="0"/>
            <w:sz w:val="20"/>
            <w:szCs w:val="20"/>
            <w:lang w:val="ru-RU" w:eastAsia="ar-SA" w:bidi="ar-SA"/>
          </w:rPr>
          <w:t>www.torgi.gov.ru</w:t>
        </w:r>
      </w:hyperlink>
      <w:r>
        <w:rPr>
          <w:rFonts w:eastAsia="Times New Roman" w:cs="Times New Roman"/>
          <w:color w:val="auto"/>
          <w:kern w:val="0"/>
          <w:sz w:val="20"/>
          <w:szCs w:val="20"/>
          <w:lang w:val="ru-RU" w:eastAsia="ar-SA" w:bidi="ar-SA"/>
        </w:rPr>
        <w:t xml:space="preserve">, на сайте www.roseltorg.ru. </w:t>
      </w:r>
    </w:p>
    <w:p>
      <w:pPr>
        <w:pStyle w:val="BodyTextIndent"/>
        <w:ind w:hanging="0"/>
        <w:jc w:val="both"/>
        <w:rPr>
          <w:sz w:val="20"/>
        </w:rPr>
      </w:pPr>
      <w:r>
        <w:rPr>
          <w:sz w:val="20"/>
        </w:rPr>
      </w:r>
    </w:p>
    <w:p>
      <w:pPr>
        <w:pStyle w:val="Normal"/>
        <w:rPr/>
      </w:pPr>
      <w:r>
        <w:rPr/>
      </w:r>
    </w:p>
    <w:tbl>
      <w:tblPr>
        <w:tblW w:w="101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5069"/>
        <w:gridCol w:w="5068"/>
      </w:tblGrid>
      <w:tr>
        <w:trPr/>
        <w:tc>
          <w:tcPr>
            <w:tcW w:w="5069" w:type="dxa"/>
            <w:tcBorders/>
          </w:tcPr>
          <w:p>
            <w:pPr>
              <w:pStyle w:val="Normal1"/>
              <w:widowControl w:val="false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  <w:tc>
          <w:tcPr>
            <w:tcW w:w="5068" w:type="dxa"/>
            <w:tcBorders/>
          </w:tcPr>
          <w:p>
            <w:pPr>
              <w:pStyle w:val="Normal1"/>
              <w:widowControl w:val="false"/>
              <w:tabs>
                <w:tab w:val="clear" w:pos="708"/>
                <w:tab w:val="right" w:pos="3884" w:leader="none"/>
              </w:tabs>
              <w:rPr>
                <w:b/>
                <w:sz w:val="20"/>
              </w:rPr>
            </w:pPr>
            <w:r>
              <w:rPr>
                <w:b/>
                <w:sz w:val="20"/>
              </w:rPr>
            </w:r>
          </w:p>
        </w:tc>
      </w:tr>
    </w:tbl>
    <w:p>
      <w:pPr>
        <w:pStyle w:val="Normal1"/>
        <w:widowControl w:val="false"/>
        <w:tabs>
          <w:tab w:val="clear" w:pos="708"/>
          <w:tab w:val="left" w:pos="2998" w:leader="none"/>
          <w:tab w:val="left" w:pos="3234" w:leader="none"/>
          <w:tab w:val="right" w:pos="3884" w:leader="none"/>
        </w:tabs>
        <w:ind w:firstLine="720"/>
        <w:jc w:val="both"/>
        <w:rPr>
          <w:sz w:val="20"/>
        </w:rPr>
      </w:pPr>
      <w:r>
        <w:rPr>
          <w:sz w:val="20"/>
        </w:rPr>
      </w:r>
    </w:p>
    <w:p>
      <w:pPr>
        <w:pStyle w:val="Normal1"/>
        <w:widowControl w:val="false"/>
        <w:tabs>
          <w:tab w:val="clear" w:pos="708"/>
          <w:tab w:val="left" w:pos="2998" w:leader="none"/>
          <w:tab w:val="left" w:pos="3234" w:leader="none"/>
          <w:tab w:val="right" w:pos="3884" w:leader="none"/>
        </w:tabs>
        <w:ind w:firstLine="720"/>
        <w:jc w:val="both"/>
        <w:rPr>
          <w:sz w:val="20"/>
          <w:u w:val="single"/>
        </w:rPr>
      </w:pPr>
      <w:r>
        <w:rPr>
          <w:sz w:val="20"/>
          <w:u w:val="single"/>
        </w:rPr>
      </w:r>
    </w:p>
    <w:p>
      <w:pPr>
        <w:pStyle w:val="Normal1"/>
        <w:widowControl w:val="false"/>
        <w:jc w:val="center"/>
        <w:rPr>
          <w:b/>
          <w:sz w:val="20"/>
        </w:rPr>
      </w:pPr>
      <w:r>
        <w:rPr>
          <w:b/>
          <w:sz w:val="20"/>
        </w:rPr>
      </w:r>
    </w:p>
    <w:sectPr>
      <w:type w:val="nextPage"/>
      <w:pgSz w:w="11906" w:h="16838"/>
      <w:pgMar w:left="1134" w:right="851" w:gutter="0" w:header="0" w:top="675" w:footer="0" w:bottom="82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Symbol">
    <w:charset w:val="01"/>
    <w:family w:val="roman"/>
    <w:pitch w:val="variable"/>
  </w:font>
  <w:font w:name="Arial">
    <w:charset w:val="01"/>
    <w:family w:val="swiss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/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Normal (Web)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1426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ar-SA" w:bidi="ar-SA"/>
    </w:rPr>
  </w:style>
  <w:style w:type="paragraph" w:styleId="Heading1">
    <w:name w:val="heading 1"/>
    <w:basedOn w:val="Normal"/>
    <w:next w:val="Normal"/>
    <w:link w:val="11"/>
    <w:qFormat/>
    <w:rsid w:val="002b3ae8"/>
    <w:pPr>
      <w:keepNext w:val="true"/>
      <w:suppressAutoHyphens w:val="false"/>
      <w:spacing w:before="60" w:after="0"/>
      <w:jc w:val="center"/>
      <w:outlineLvl w:val="0"/>
    </w:pPr>
    <w:rPr>
      <w:b/>
      <w:caps/>
      <w:sz w:val="2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1" w:customStyle="1">
    <w:name w:val="WW8Num1z1"/>
    <w:qFormat/>
    <w:rsid w:val="00914263"/>
    <w:rPr>
      <w:rFonts w:ascii="Symbol" w:hAnsi="Symbol"/>
    </w:rPr>
  </w:style>
  <w:style w:type="character" w:styleId="Absatz-Standardschriftart" w:customStyle="1">
    <w:name w:val="Absatz-Standardschriftart"/>
    <w:qFormat/>
    <w:rsid w:val="00914263"/>
    <w:rPr/>
  </w:style>
  <w:style w:type="character" w:styleId="WW-Absatz-Standardschriftart" w:customStyle="1">
    <w:name w:val="WW-Absatz-Standardschriftart"/>
    <w:qFormat/>
    <w:rsid w:val="00914263"/>
    <w:rPr/>
  </w:style>
  <w:style w:type="character" w:styleId="WW-Absatz-Standardschriftart1" w:customStyle="1">
    <w:name w:val="WW-Absatz-Standardschriftart1"/>
    <w:qFormat/>
    <w:rsid w:val="00914263"/>
    <w:rPr/>
  </w:style>
  <w:style w:type="character" w:styleId="WW-Absatz-Standardschriftart11" w:customStyle="1">
    <w:name w:val="WW-Absatz-Standardschriftart11"/>
    <w:qFormat/>
    <w:rsid w:val="00914263"/>
    <w:rPr/>
  </w:style>
  <w:style w:type="character" w:styleId="WW-Absatz-Standardschriftart111" w:customStyle="1">
    <w:name w:val="WW-Absatz-Standardschriftart111"/>
    <w:qFormat/>
    <w:rsid w:val="00914263"/>
    <w:rPr/>
  </w:style>
  <w:style w:type="character" w:styleId="WW-Absatz-Standardschriftart1111" w:customStyle="1">
    <w:name w:val="WW-Absatz-Standardschriftart1111"/>
    <w:qFormat/>
    <w:rsid w:val="00914263"/>
    <w:rPr/>
  </w:style>
  <w:style w:type="character" w:styleId="WW-Absatz-Standardschriftart11111" w:customStyle="1">
    <w:name w:val="WW-Absatz-Standardschriftart11111"/>
    <w:qFormat/>
    <w:rsid w:val="00914263"/>
    <w:rPr/>
  </w:style>
  <w:style w:type="character" w:styleId="WW-Absatz-Standardschriftart111111" w:customStyle="1">
    <w:name w:val="WW-Absatz-Standardschriftart111111"/>
    <w:qFormat/>
    <w:rsid w:val="00914263"/>
    <w:rPr/>
  </w:style>
  <w:style w:type="character" w:styleId="WW-Absatz-Standardschriftart1111111" w:customStyle="1">
    <w:name w:val="WW-Absatz-Standardschriftart1111111"/>
    <w:qFormat/>
    <w:rsid w:val="00914263"/>
    <w:rPr/>
  </w:style>
  <w:style w:type="character" w:styleId="1" w:customStyle="1">
    <w:name w:val="Основной шрифт абзаца1"/>
    <w:qFormat/>
    <w:rsid w:val="00914263"/>
    <w:rPr/>
  </w:style>
  <w:style w:type="character" w:styleId="Hyperlink">
    <w:name w:val="Hyperlink"/>
    <w:basedOn w:val="1"/>
    <w:rsid w:val="00914263"/>
    <w:rPr>
      <w:color w:val="0000FF"/>
      <w:u w:val="single"/>
    </w:rPr>
  </w:style>
  <w:style w:type="character" w:styleId="Style13" w:customStyle="1">
    <w:name w:val="Символ нумерации"/>
    <w:qFormat/>
    <w:rsid w:val="00914263"/>
    <w:rPr/>
  </w:style>
  <w:style w:type="character" w:styleId="iceouttxt5" w:customStyle="1">
    <w:name w:val="iceouttxt5"/>
    <w:basedOn w:val="DefaultParagraphFont"/>
    <w:qFormat/>
    <w:rsid w:val="00831a7a"/>
    <w:rPr>
      <w:rFonts w:ascii="Arial" w:hAnsi="Arial" w:cs="Arial"/>
      <w:color w:val="666666"/>
      <w:sz w:val="17"/>
      <w:szCs w:val="17"/>
    </w:rPr>
  </w:style>
  <w:style w:type="character" w:styleId="11" w:customStyle="1">
    <w:name w:val="Заголовок 1 Знак"/>
    <w:basedOn w:val="DefaultParagraphFont"/>
    <w:qFormat/>
    <w:rsid w:val="002b3ae8"/>
    <w:rPr>
      <w:b/>
      <w:caps/>
      <w:sz w:val="28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3498e"/>
    <w:rPr>
      <w:rFonts w:ascii="Tahoma" w:hAnsi="Tahoma" w:cs="Tahoma"/>
      <w:sz w:val="16"/>
      <w:szCs w:val="16"/>
      <w:lang w:eastAsia="ar-SA"/>
    </w:rPr>
  </w:style>
  <w:style w:type="character" w:styleId="Style15" w:customStyle="1">
    <w:name w:val="Название Знак"/>
    <w:basedOn w:val="DefaultParagraphFont"/>
    <w:qFormat/>
    <w:rsid w:val="00133788"/>
    <w:rPr>
      <w:b/>
      <w:sz w:val="28"/>
    </w:rPr>
  </w:style>
  <w:style w:type="character" w:styleId="wmi-callto" w:customStyle="1">
    <w:name w:val="wmi-callto"/>
    <w:basedOn w:val="DefaultParagraphFont"/>
    <w:qFormat/>
    <w:rsid w:val="0087265b"/>
    <w:rPr/>
  </w:style>
  <w:style w:type="paragraph" w:styleId="Style16" w:customStyle="1">
    <w:name w:val="Заголовок"/>
    <w:basedOn w:val="Normal"/>
    <w:next w:val="BodyText"/>
    <w:qFormat/>
    <w:rsid w:val="00914263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BodyText">
    <w:name w:val="Body Text"/>
    <w:basedOn w:val="Normal"/>
    <w:rsid w:val="00914263"/>
    <w:pPr>
      <w:spacing w:before="0" w:after="120"/>
    </w:pPr>
    <w:rPr/>
  </w:style>
  <w:style w:type="paragraph" w:styleId="List">
    <w:name w:val="List"/>
    <w:basedOn w:val="BodyText"/>
    <w:rsid w:val="00914263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ohit Devanagari"/>
    </w:rPr>
  </w:style>
  <w:style w:type="paragraph" w:styleId="12" w:customStyle="1">
    <w:name w:val="Название1"/>
    <w:basedOn w:val="Normal"/>
    <w:qFormat/>
    <w:rsid w:val="0091426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3" w:customStyle="1">
    <w:name w:val="Указатель1"/>
    <w:basedOn w:val="Normal"/>
    <w:qFormat/>
    <w:rsid w:val="00914263"/>
    <w:pPr>
      <w:suppressLineNumbers/>
    </w:pPr>
    <w:rPr>
      <w:rFonts w:cs="Mangal"/>
    </w:rPr>
  </w:style>
  <w:style w:type="paragraph" w:styleId="14" w:customStyle="1">
    <w:name w:val="Обычный1"/>
    <w:qFormat/>
    <w:rsid w:val="00a50b9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BodyTextIndent">
    <w:name w:val="Body Text Indent"/>
    <w:basedOn w:val="Normal"/>
    <w:rsid w:val="00914263"/>
    <w:pPr>
      <w:ind w:firstLine="709"/>
    </w:pPr>
    <w:rPr>
      <w:sz w:val="28"/>
    </w:rPr>
  </w:style>
  <w:style w:type="paragraph" w:styleId="ConsPlusNormal" w:customStyle="1">
    <w:name w:val="ConsPlusNormal"/>
    <w:qFormat/>
    <w:rsid w:val="00914263"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Arial" w:cs="Arial"/>
      <w:color w:val="auto"/>
      <w:kern w:val="0"/>
      <w:sz w:val="20"/>
      <w:szCs w:val="20"/>
      <w:lang w:val="ru-RU" w:eastAsia="ar-SA" w:bidi="ar-SA"/>
    </w:rPr>
  </w:style>
  <w:style w:type="paragraph" w:styleId="Style18" w:customStyle="1">
    <w:name w:val="Содержимое таблицы"/>
    <w:basedOn w:val="Normal"/>
    <w:qFormat/>
    <w:rsid w:val="00914263"/>
    <w:pPr>
      <w:suppressLineNumbers/>
    </w:pPr>
    <w:rPr/>
  </w:style>
  <w:style w:type="paragraph" w:styleId="Style19" w:customStyle="1">
    <w:name w:val="Заголовок таблицы"/>
    <w:basedOn w:val="Style18"/>
    <w:qFormat/>
    <w:rsid w:val="00914263"/>
    <w:pPr>
      <w:jc w:val="center"/>
    </w:pPr>
    <w:rPr>
      <w:b/>
      <w:bCs/>
    </w:rPr>
  </w:style>
  <w:style w:type="paragraph" w:styleId="NoSpacing">
    <w:name w:val="No Spacing"/>
    <w:qFormat/>
    <w:rsid w:val="0091426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0"/>
      <w:sz w:val="20"/>
      <w:szCs w:val="20"/>
      <w:lang w:val="ru-RU" w:eastAsia="ar-SA" w:bidi="ar-SA"/>
    </w:rPr>
  </w:style>
  <w:style w:type="paragraph" w:styleId="2" w:customStyle="1">
    <w:name w:val="Обычный2"/>
    <w:qFormat/>
    <w:rsid w:val="006058e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ar-SA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3498e"/>
    <w:pPr/>
    <w:rPr>
      <w:rFonts w:ascii="Tahoma" w:hAnsi="Tahoma" w:cs="Tahoma"/>
      <w:sz w:val="16"/>
      <w:szCs w:val="16"/>
    </w:rPr>
  </w:style>
  <w:style w:type="paragraph" w:styleId="Normal1" w:customStyle="1">
    <w:name w:val="Normal1"/>
    <w:qFormat/>
    <w:rsid w:val="00133788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qFormat/>
    <w:rsid w:val="00133788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Title">
    <w:name w:val="Title"/>
    <w:basedOn w:val="Normal"/>
    <w:link w:val="Style15"/>
    <w:qFormat/>
    <w:rsid w:val="00133788"/>
    <w:pPr>
      <w:suppressAutoHyphens w:val="false"/>
      <w:jc w:val="center"/>
    </w:pPr>
    <w:rPr>
      <w:b/>
      <w:sz w:val="28"/>
      <w:lang w:eastAsia="ru-RU"/>
    </w:rPr>
  </w:style>
  <w:style w:type="paragraph" w:styleId="ConsNormal" w:customStyle="1">
    <w:name w:val="ConsNormal"/>
    <w:qFormat/>
    <w:rsid w:val="00133788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qFormat/>
    <w:rsid w:val="00133788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133788"/>
    <w:pPr>
      <w:suppressAutoHyphens w:val="false"/>
      <w:spacing w:beforeAutospacing="1" w:afterAutospacing="1"/>
    </w:pPr>
    <w:rPr>
      <w:sz w:val="24"/>
      <w:szCs w:val="24"/>
      <w:lang w:eastAsia="ru-RU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oseltorg.ru/" TargetMode="External"/><Relationship Id="rId3" Type="http://schemas.openxmlformats.org/officeDocument/2006/relationships/hyperlink" Target="consultantplus://offline/ref=D4A68558A8FD10E6E491CD1D6B1D81ACFA61396BC7F47D39AD5DF340A8EAD1FB5AB32D44A96F2549U3M6H" TargetMode="External"/><Relationship Id="rId4" Type="http://schemas.openxmlformats.org/officeDocument/2006/relationships/hyperlink" Target="consultantplus://offline/ref=69348D19058497D5BA072A34F0C9652AD94A49284F4CA13B7148F8E1020C214D98A4DF118D18B9A4FBB9A836B8o3GFM" TargetMode="External"/><Relationship Id="rId5" Type="http://schemas.openxmlformats.org/officeDocument/2006/relationships/hyperlink" Target="http://www.torgi.gov.ru/" TargetMode="External"/><Relationship Id="rId6" Type="http://schemas.openxmlformats.org/officeDocument/2006/relationships/hyperlink" Target="http://www.torgi.gov.ru/" TargetMode="Externa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Application>LibreOffice/24.8.3.2$Linux_X86_64 LibreOffice_project/480$Build-2</Application>
  <AppVersion>15.0000</AppVersion>
  <Pages>4</Pages>
  <Words>1836</Words>
  <Characters>12957</Characters>
  <CharactersWithSpaces>14885</CharactersWithSpaces>
  <Paragraphs>90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2014-11-19T09:43:00Z</dcterms:created>
  <dc:creator>Test</dc:creator>
  <dc:description/>
  <dc:language>ru-RU</dc:language>
  <cp:lastModifiedBy/>
  <cp:lastPrinted>2018-10-25T05:00:00Z</cp:lastPrinted>
  <dcterms:modified xsi:type="dcterms:W3CDTF">2025-03-17T14:06:04Z</dcterms:modified>
  <cp:revision>149</cp:revision>
  <dc:subject/>
  <dc:title>Бюджетное учреждение Омской области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