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footer+xml" PartName="/word/footer4.xml"/>
  <Override ContentType="application/vnd.openxmlformats-officedocument.wordprocessingml.footer+xml" PartName="/word/footer6.xml"/>
  <Override ContentType="application/vnd.openxmlformats-officedocument.wordprocessingml.footer+xml" PartName="/word/footer8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header+xml" PartName="/word/header5.xml"/>
  <Override ContentType="application/vnd.openxmlformats-officedocument.wordprocessingml.header+xml" PartName="/word/header7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C000000">
      <w:pPr>
        <w:ind/>
        <w:jc w:val="both"/>
        <w:rPr>
          <w:b w:val="1"/>
          <w:sz w:val="28"/>
          <w:u w:val="single"/>
        </w:rPr>
      </w:pPr>
      <w:r>
        <w:rPr>
          <w:b w:val="1"/>
          <w:sz w:val="28"/>
          <w:u w:val="single"/>
        </w:rPr>
        <w:t xml:space="preserve">АДМИНИСТРАЦИЯ </w:t>
      </w:r>
      <w:r>
        <w:rPr>
          <w:b w:val="1"/>
          <w:sz w:val="28"/>
          <w:u w:val="single"/>
        </w:rPr>
        <w:t xml:space="preserve">ПОЛТАВСКОГО МУНИЦИПАЛЬНОГО </w:t>
      </w:r>
      <w:r>
        <w:rPr>
          <w:b w:val="1"/>
          <w:sz w:val="28"/>
          <w:u w:val="single"/>
        </w:rPr>
        <w:t>РАЙОНА</w:t>
      </w:r>
    </w:p>
    <w:p w14:paraId="0D000000">
      <w:pPr>
        <w:widowControl w:val="0"/>
        <w:spacing w:line="360" w:lineRule="auto"/>
        <w:ind/>
        <w:jc w:val="center"/>
        <w:rPr>
          <w:b w:val="1"/>
          <w:caps w:val="1"/>
          <w:color w:val="000000"/>
          <w:sz w:val="28"/>
        </w:rPr>
      </w:pPr>
    </w:p>
    <w:p w14:paraId="0E000000">
      <w:pPr>
        <w:ind/>
        <w:jc w:val="center"/>
        <w:rPr>
          <w:b w:val="1"/>
          <w:sz w:val="36"/>
        </w:rPr>
      </w:pPr>
      <w:r>
        <w:rPr>
          <w:b w:val="1"/>
          <w:sz w:val="36"/>
        </w:rPr>
        <w:t>П О С Т А Н О В Л Е Н И Е</w:t>
      </w:r>
    </w:p>
    <w:p w14:paraId="0F000000">
      <w:pPr>
        <w:widowControl w:val="0"/>
        <w:ind/>
        <w:jc w:val="both"/>
        <w:rPr>
          <w:sz w:val="32"/>
        </w:rPr>
      </w:pPr>
    </w:p>
    <w:p w14:paraId="10000000">
      <w:pPr>
        <w:widowControl w:val="0"/>
        <w:ind/>
        <w:jc w:val="both"/>
        <w:rPr>
          <w:sz w:val="32"/>
        </w:rPr>
      </w:pPr>
    </w:p>
    <w:p w14:paraId="11000000">
      <w:pPr>
        <w:widowControl w:val="0"/>
        <w:ind/>
        <w:jc w:val="both"/>
        <w:rPr>
          <w:sz w:val="28"/>
        </w:rPr>
      </w:pPr>
      <w:r>
        <w:rPr>
          <w:color w:val="000000"/>
          <w:sz w:val="28"/>
        </w:rPr>
        <w:t xml:space="preserve">от___январь 2025 года </w:t>
      </w:r>
      <w:r>
        <w:rPr>
          <w:color w:val="000000"/>
          <w:sz w:val="28"/>
        </w:rPr>
        <w:t xml:space="preserve">                                                                              </w:t>
      </w:r>
      <w:r>
        <w:rPr>
          <w:sz w:val="28"/>
        </w:rPr>
        <w:t>№ проект</w:t>
      </w:r>
    </w:p>
    <w:p w14:paraId="12000000">
      <w:pPr>
        <w:widowControl w:val="0"/>
        <w:ind/>
        <w:jc w:val="both"/>
        <w:rPr>
          <w:sz w:val="28"/>
        </w:rPr>
      </w:pPr>
    </w:p>
    <w:p w14:paraId="13000000">
      <w:pPr>
        <w:rPr>
          <w:sz w:val="28"/>
        </w:rPr>
      </w:pPr>
      <w:r>
        <w:rPr>
          <w:sz w:val="28"/>
        </w:rPr>
        <w:t xml:space="preserve">О внесении изменений в постановление </w:t>
      </w:r>
    </w:p>
    <w:p w14:paraId="14000000">
      <w:pPr>
        <w:rPr>
          <w:sz w:val="28"/>
        </w:rPr>
      </w:pPr>
      <w:r>
        <w:rPr>
          <w:sz w:val="28"/>
        </w:rPr>
        <w:t xml:space="preserve">администрации Полтавского муниципального </w:t>
      </w:r>
    </w:p>
    <w:p w14:paraId="15000000">
      <w:pPr>
        <w:rPr>
          <w:sz w:val="28"/>
        </w:rPr>
      </w:pPr>
      <w:r>
        <w:rPr>
          <w:sz w:val="28"/>
        </w:rPr>
        <w:t>района № 221 от 21.12.2022 года «Об утверждении</w:t>
      </w:r>
    </w:p>
    <w:p w14:paraId="16000000">
      <w:pPr>
        <w:rPr>
          <w:sz w:val="28"/>
        </w:rPr>
      </w:pPr>
      <w:r>
        <w:rPr>
          <w:sz w:val="28"/>
        </w:rPr>
        <w:t xml:space="preserve">местных </w:t>
      </w:r>
      <w:r>
        <w:rPr>
          <w:sz w:val="28"/>
        </w:rPr>
        <w:t xml:space="preserve">нормативов </w:t>
      </w:r>
      <w:r>
        <w:rPr>
          <w:sz w:val="28"/>
        </w:rPr>
        <w:t xml:space="preserve">градостроительного проектирования </w:t>
      </w:r>
    </w:p>
    <w:p w14:paraId="17000000">
      <w:pPr>
        <w:rPr>
          <w:sz w:val="28"/>
        </w:rPr>
      </w:pPr>
      <w:r>
        <w:rPr>
          <w:sz w:val="28"/>
        </w:rPr>
        <w:t xml:space="preserve">Полтавского муниципального района </w:t>
      </w:r>
    </w:p>
    <w:p w14:paraId="18000000">
      <w:pPr>
        <w:rPr>
          <w:sz w:val="28"/>
        </w:rPr>
      </w:pPr>
      <w:r>
        <w:rPr>
          <w:sz w:val="28"/>
        </w:rPr>
        <w:t>Омской области</w:t>
      </w:r>
    </w:p>
    <w:p w14:paraId="19000000">
      <w:pPr>
        <w:rPr>
          <w:sz w:val="28"/>
        </w:rPr>
      </w:pPr>
      <w:r>
        <w:rPr>
          <w:sz w:val="28"/>
        </w:rPr>
        <w:t>_______</w:t>
      </w:r>
      <w:r>
        <w:rPr>
          <w:sz w:val="28"/>
        </w:rPr>
        <w:t>________________________</w:t>
      </w:r>
    </w:p>
    <w:p w14:paraId="1A000000">
      <w:pPr>
        <w:rPr>
          <w:sz w:val="28"/>
        </w:rPr>
      </w:pPr>
    </w:p>
    <w:p w14:paraId="1B000000">
      <w:pPr>
        <w:ind/>
        <w:jc w:val="center"/>
        <w:rPr>
          <w:sz w:val="28"/>
        </w:rPr>
      </w:pPr>
    </w:p>
    <w:p w14:paraId="1C000000">
      <w:pPr>
        <w:widowControl w:val="0"/>
        <w:ind w:firstLine="708" w:left="0"/>
        <w:contextualSpacing w:val="1"/>
        <w:jc w:val="both"/>
        <w:rPr>
          <w:sz w:val="28"/>
        </w:rPr>
      </w:pPr>
      <w:r>
        <w:rPr>
          <w:sz w:val="28"/>
        </w:rPr>
        <w:t>В соответствии с Градостроительным кодексом Российской Федерации</w:t>
      </w:r>
      <w:r>
        <w:rPr>
          <w:sz w:val="28"/>
        </w:rPr>
        <w:t>,</w:t>
      </w:r>
      <w:r>
        <w:rPr>
          <w:sz w:val="28"/>
        </w:rPr>
        <w:t xml:space="preserve"> </w:t>
      </w:r>
      <w:r>
        <w:rPr>
          <w:sz w:val="28"/>
        </w:rPr>
        <w:t xml:space="preserve">руководствуясь Федеральным законом от 06.10.2003 №131-ФЗ «Об общих принципах организации местного самоуправления в Российской Федерации», </w:t>
      </w:r>
      <w:r>
        <w:rPr>
          <w:sz w:val="28"/>
        </w:rPr>
        <w:t xml:space="preserve">Законом Омской области </w:t>
      </w:r>
      <w:r>
        <w:rPr>
          <w:sz w:val="28"/>
        </w:rPr>
        <w:t>от 09.03.2007 N 874-ОЗ</w:t>
      </w:r>
      <w:r>
        <w:rPr>
          <w:sz w:val="28"/>
        </w:rPr>
        <w:t xml:space="preserve"> «О регулировании градостроительной деятельности в Омской области»,  </w:t>
      </w:r>
      <w:r>
        <w:rPr>
          <w:sz w:val="28"/>
        </w:rPr>
        <w:t>руководствуясь Уставом</w:t>
      </w:r>
      <w:r>
        <w:rPr>
          <w:sz w:val="28"/>
        </w:rPr>
        <w:t xml:space="preserve"> </w:t>
      </w:r>
      <w:r>
        <w:rPr>
          <w:spacing w:val="-1"/>
          <w:sz w:val="28"/>
        </w:rPr>
        <w:t>Полтавского</w:t>
      </w:r>
      <w:r>
        <w:rPr>
          <w:spacing w:val="-1"/>
          <w:sz w:val="28"/>
        </w:rPr>
        <w:t xml:space="preserve"> муниципального района Омской области</w:t>
      </w:r>
      <w:r>
        <w:rPr>
          <w:spacing w:val="16"/>
          <w:sz w:val="28"/>
        </w:rPr>
        <w:t>,</w:t>
      </w:r>
    </w:p>
    <w:p w14:paraId="1D000000">
      <w:pPr>
        <w:widowControl w:val="0"/>
        <w:tabs>
          <w:tab w:leader="none" w:pos="1134" w:val="left"/>
        </w:tabs>
        <w:ind/>
        <w:jc w:val="both"/>
        <w:rPr>
          <w:b w:val="1"/>
          <w:sz w:val="28"/>
        </w:rPr>
      </w:pPr>
    </w:p>
    <w:p w14:paraId="1E000000">
      <w:pPr>
        <w:widowControl w:val="0"/>
        <w:tabs>
          <w:tab w:leader="none" w:pos="1134" w:val="left"/>
        </w:tabs>
        <w:ind/>
        <w:jc w:val="both"/>
        <w:rPr>
          <w:b w:val="0"/>
          <w:sz w:val="28"/>
        </w:rPr>
      </w:pPr>
      <w:r>
        <w:rPr>
          <w:b w:val="0"/>
          <w:sz w:val="28"/>
        </w:rPr>
        <w:t>П О С Т А Н О В Л Я Ю</w:t>
      </w:r>
      <w:r>
        <w:rPr>
          <w:b w:val="0"/>
          <w:sz w:val="28"/>
        </w:rPr>
        <w:t>:</w:t>
      </w:r>
    </w:p>
    <w:p w14:paraId="1F000000">
      <w:pPr>
        <w:widowControl w:val="0"/>
        <w:tabs>
          <w:tab w:leader="none" w:pos="1134" w:val="left"/>
        </w:tabs>
        <w:ind/>
        <w:jc w:val="both"/>
        <w:rPr>
          <w:sz w:val="28"/>
        </w:rPr>
      </w:pPr>
    </w:p>
    <w:p w14:paraId="20000000">
      <w:pPr>
        <w:widowControl w:val="0"/>
        <w:ind/>
        <w:jc w:val="both"/>
        <w:rPr>
          <w:sz w:val="28"/>
        </w:rPr>
      </w:pPr>
      <w:r>
        <w:rPr>
          <w:sz w:val="28"/>
        </w:rPr>
        <w:t xml:space="preserve">    1.</w:t>
      </w:r>
      <w:r>
        <w:rPr>
          <w:sz w:val="28"/>
        </w:rPr>
        <w:t xml:space="preserve"> Утвердить</w:t>
      </w:r>
      <w:r>
        <w:rPr>
          <w:sz w:val="28"/>
        </w:rPr>
        <w:t xml:space="preserve"> местные </w:t>
      </w:r>
      <w:r>
        <w:rPr>
          <w:sz w:val="28"/>
        </w:rPr>
        <w:t xml:space="preserve">нормативы градостроительного проектирования </w:t>
      </w:r>
      <w:r>
        <w:rPr>
          <w:sz w:val="28"/>
        </w:rPr>
        <w:t xml:space="preserve"> Полтавского муниципального района</w:t>
      </w:r>
      <w:r>
        <w:rPr>
          <w:sz w:val="28"/>
        </w:rPr>
        <w:t xml:space="preserve"> Омской области </w:t>
      </w:r>
      <w:r>
        <w:rPr>
          <w:sz w:val="28"/>
        </w:rPr>
        <w:t xml:space="preserve">в новой редакции </w:t>
      </w:r>
      <w:r>
        <w:rPr>
          <w:sz w:val="28"/>
        </w:rPr>
        <w:t xml:space="preserve">согласно приложению к настоящему постановлению. </w:t>
      </w:r>
    </w:p>
    <w:p w14:paraId="21000000">
      <w:pPr>
        <w:widowControl w:val="0"/>
        <w:ind w:firstLine="567" w:left="0"/>
        <w:jc w:val="both"/>
        <w:rPr>
          <w:sz w:val="28"/>
        </w:rPr>
      </w:pPr>
      <w:r>
        <w:rPr>
          <w:sz w:val="28"/>
        </w:rPr>
        <w:t xml:space="preserve">2. </w:t>
      </w:r>
      <w:r>
        <w:rPr>
          <w:sz w:val="28"/>
        </w:rPr>
        <w:t xml:space="preserve">Настоящее постановление </w:t>
      </w:r>
      <w:r>
        <w:rPr>
          <w:sz w:val="28"/>
        </w:rPr>
        <w:t>подлежит обязательному опубликованию (обнародованию) и размещению</w:t>
      </w:r>
      <w:r>
        <w:rPr>
          <w:sz w:val="28"/>
        </w:rPr>
        <w:t xml:space="preserve"> на </w:t>
      </w:r>
      <w:r>
        <w:rPr>
          <w:sz w:val="28"/>
        </w:rPr>
        <w:t>официальном</w:t>
      </w:r>
      <w:r>
        <w:rPr>
          <w:sz w:val="28"/>
        </w:rPr>
        <w:t xml:space="preserve"> сайте </w:t>
      </w:r>
      <w:r>
        <w:rPr>
          <w:sz w:val="28"/>
        </w:rPr>
        <w:t>Администрации Полтавского</w:t>
      </w:r>
      <w:r>
        <w:rPr>
          <w:sz w:val="28"/>
        </w:rPr>
        <w:t xml:space="preserve"> муниципального района Омской области в информационно-телекоммуникационной сети «Интернет»</w:t>
      </w:r>
      <w:r>
        <w:rPr>
          <w:sz w:val="28"/>
        </w:rPr>
        <w:t>.</w:t>
      </w:r>
    </w:p>
    <w:p w14:paraId="22000000">
      <w:pPr>
        <w:widowControl w:val="0"/>
        <w:ind w:firstLine="567" w:left="0"/>
        <w:jc w:val="both"/>
        <w:rPr>
          <w:sz w:val="28"/>
        </w:rPr>
      </w:pPr>
      <w:r>
        <w:rPr>
          <w:sz w:val="28"/>
        </w:rPr>
        <w:t xml:space="preserve">3. </w:t>
      </w:r>
      <w:r>
        <w:rPr>
          <w:sz w:val="28"/>
        </w:rPr>
        <w:t xml:space="preserve">Контроль </w:t>
      </w:r>
      <w:r>
        <w:rPr>
          <w:sz w:val="28"/>
        </w:rPr>
        <w:t>за исполнением</w:t>
      </w:r>
      <w:r>
        <w:rPr>
          <w:sz w:val="28"/>
        </w:rPr>
        <w:t xml:space="preserve"> настоящего постановления возложить на начальника </w:t>
      </w:r>
      <w:r>
        <w:rPr>
          <w:sz w:val="28"/>
        </w:rPr>
        <w:t>Управления архитектуры, капитального строительства и жизнеобеспечения администрации Полтавского муниципального района Омской области Д.В. Конюхова</w:t>
      </w:r>
      <w:r>
        <w:rPr>
          <w:sz w:val="28"/>
        </w:rPr>
        <w:t>.</w:t>
      </w:r>
    </w:p>
    <w:p w14:paraId="23000000">
      <w:pPr>
        <w:spacing w:line="276" w:lineRule="auto"/>
        <w:ind/>
        <w:rPr>
          <w:rFonts w:ascii="Tahoma" w:hAnsi="Tahoma"/>
          <w:b w:val="1"/>
          <w:strike w:val="1"/>
        </w:rPr>
      </w:pPr>
    </w:p>
    <w:p w14:paraId="24000000">
      <w:pPr>
        <w:spacing w:line="276" w:lineRule="auto"/>
        <w:ind/>
        <w:rPr>
          <w:rFonts w:ascii="Tahoma" w:hAnsi="Tahoma"/>
          <w:b w:val="1"/>
          <w:strike w:val="1"/>
        </w:rPr>
      </w:pPr>
    </w:p>
    <w:p w14:paraId="25000000">
      <w:pPr>
        <w:ind w:firstLine="0" w:left="-180"/>
        <w:jc w:val="both"/>
        <w:rPr>
          <w:sz w:val="28"/>
        </w:rPr>
      </w:pPr>
      <w:r>
        <w:rPr>
          <w:sz w:val="28"/>
        </w:rPr>
        <w:t>Врио г</w:t>
      </w:r>
      <w:r>
        <w:rPr>
          <w:sz w:val="28"/>
        </w:rPr>
        <w:t xml:space="preserve">лавы Полтавского </w:t>
      </w:r>
    </w:p>
    <w:p w14:paraId="26000000">
      <w:pPr>
        <w:ind w:firstLine="0" w:left="-180"/>
        <w:jc w:val="both"/>
        <w:rPr>
          <w:sz w:val="28"/>
        </w:rPr>
      </w:pPr>
      <w:r>
        <w:rPr>
          <w:sz w:val="28"/>
        </w:rPr>
        <w:t>муниципального</w:t>
      </w:r>
      <w:r>
        <w:rPr>
          <w:sz w:val="28"/>
        </w:rPr>
        <w:t xml:space="preserve"> </w:t>
      </w:r>
      <w:r>
        <w:rPr>
          <w:sz w:val="28"/>
        </w:rPr>
        <w:t xml:space="preserve">района </w:t>
      </w:r>
    </w:p>
    <w:p w14:paraId="27000000">
      <w:pPr>
        <w:ind w:firstLine="0" w:left="-180"/>
        <w:jc w:val="both"/>
        <w:rPr>
          <w:sz w:val="28"/>
        </w:rPr>
      </w:pPr>
      <w:r>
        <w:rPr>
          <w:sz w:val="28"/>
        </w:rPr>
        <w:t xml:space="preserve">Омской области 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 xml:space="preserve">            </w:t>
      </w:r>
      <w:r>
        <w:rPr>
          <w:sz w:val="28"/>
        </w:rPr>
        <w:t xml:space="preserve">            В.В. Никитина</w:t>
      </w:r>
    </w:p>
    <w:p w14:paraId="28000000">
      <w:pPr>
        <w:ind w:firstLine="0" w:left="4962"/>
        <w:rPr>
          <w:b w:val="1"/>
        </w:rPr>
      </w:pPr>
    </w:p>
    <w:p w14:paraId="29000000">
      <w:pPr>
        <w:spacing w:line="276" w:lineRule="auto"/>
        <w:ind w:firstLine="0" w:left="2694"/>
        <w:rPr>
          <w:rFonts w:ascii="Tahoma" w:hAnsi="Tahoma"/>
          <w:b w:val="1"/>
          <w:strike w:val="1"/>
        </w:rPr>
      </w:pPr>
    </w:p>
    <w:p w14:paraId="2A000000">
      <w:pPr>
        <w:spacing w:line="276" w:lineRule="auto"/>
        <w:ind w:firstLine="0" w:left="2694"/>
        <w:rPr>
          <w:rFonts w:ascii="Tahoma" w:hAnsi="Tahoma"/>
          <w:b w:val="1"/>
          <w:strike w:val="1"/>
        </w:rPr>
      </w:pPr>
    </w:p>
    <w:p w14:paraId="2B000000">
      <w:pPr>
        <w:spacing w:line="276" w:lineRule="auto"/>
        <w:ind w:firstLine="0" w:left="2694"/>
        <w:rPr>
          <w:rFonts w:ascii="Tahoma" w:hAnsi="Tahoma"/>
          <w:b w:val="1"/>
          <w:strike w:val="1"/>
        </w:rPr>
      </w:pPr>
    </w:p>
    <w:p w14:paraId="2C000000">
      <w:pPr>
        <w:spacing w:line="276" w:lineRule="auto"/>
        <w:ind w:firstLine="0" w:left="2694"/>
        <w:rPr>
          <w:rFonts w:ascii="Tahoma" w:hAnsi="Tahoma"/>
          <w:b w:val="1"/>
          <w:strike w:val="1"/>
        </w:rPr>
      </w:pPr>
    </w:p>
    <w:p w14:paraId="2D000000">
      <w:pPr>
        <w:spacing w:line="276" w:lineRule="auto"/>
        <w:ind w:firstLine="0" w:left="2694"/>
        <w:jc w:val="right"/>
        <w:rPr>
          <w:sz w:val="20"/>
        </w:rPr>
      </w:pPr>
      <w:r>
        <w:rPr>
          <w:sz w:val="20"/>
        </w:rPr>
        <w:t>Приложение к</w:t>
      </w:r>
    </w:p>
    <w:p w14:paraId="2E000000">
      <w:pPr>
        <w:spacing w:line="276" w:lineRule="auto"/>
        <w:ind w:firstLine="0" w:left="2694"/>
        <w:jc w:val="right"/>
        <w:rPr>
          <w:sz w:val="20"/>
        </w:rPr>
      </w:pPr>
      <w:r>
        <w:rPr>
          <w:sz w:val="20"/>
        </w:rPr>
        <w:t>Постановлению Администрации</w:t>
      </w:r>
    </w:p>
    <w:p w14:paraId="2F000000">
      <w:pPr>
        <w:spacing w:line="276" w:lineRule="auto"/>
        <w:ind w:firstLine="0" w:left="2694"/>
        <w:jc w:val="right"/>
        <w:rPr>
          <w:sz w:val="20"/>
        </w:rPr>
      </w:pPr>
      <w:r>
        <w:rPr>
          <w:sz w:val="20"/>
        </w:rPr>
        <w:t>Полтавского муниципального</w:t>
      </w:r>
    </w:p>
    <w:p w14:paraId="30000000">
      <w:pPr>
        <w:spacing w:line="276" w:lineRule="auto"/>
        <w:ind w:firstLine="0" w:left="2694"/>
        <w:jc w:val="right"/>
        <w:rPr>
          <w:sz w:val="20"/>
        </w:rPr>
      </w:pPr>
      <w:r>
        <w:rPr>
          <w:sz w:val="20"/>
        </w:rPr>
        <w:t xml:space="preserve">района Омской области </w:t>
      </w:r>
    </w:p>
    <w:p w14:paraId="31000000">
      <w:pPr>
        <w:spacing w:line="276" w:lineRule="auto"/>
        <w:ind w:firstLine="0" w:left="2694"/>
        <w:jc w:val="right"/>
        <w:rPr>
          <w:sz w:val="20"/>
        </w:rPr>
      </w:pPr>
      <w:r>
        <w:rPr>
          <w:sz w:val="20"/>
        </w:rPr>
        <w:t xml:space="preserve">№          </w:t>
      </w:r>
      <w:r>
        <w:rPr>
          <w:sz w:val="20"/>
        </w:rPr>
        <w:t xml:space="preserve"> от  21 марта </w:t>
      </w:r>
      <w:r>
        <w:rPr>
          <w:sz w:val="20"/>
        </w:rPr>
        <w:t>2025 г.</w:t>
      </w:r>
      <w:r>
        <w:rPr>
          <w:sz w:val="20"/>
        </w:rPr>
        <w:t xml:space="preserve">                        </w:t>
      </w:r>
      <w:r>
        <w:rPr>
          <w:sz w:val="20"/>
          <w:u w:val="single"/>
        </w:rPr>
        <w:t xml:space="preserve">  </w:t>
      </w:r>
    </w:p>
    <w:p w14:paraId="32000000">
      <w:pPr>
        <w:spacing w:line="276" w:lineRule="auto"/>
        <w:ind w:firstLine="0" w:left="2694"/>
        <w:rPr>
          <w:rFonts w:ascii="Tahoma" w:hAnsi="Tahoma"/>
          <w:b w:val="1"/>
          <w:strike w:val="1"/>
        </w:rPr>
      </w:pPr>
    </w:p>
    <w:p w14:paraId="33000000">
      <w:pPr>
        <w:ind w:firstLine="0" w:left="2694"/>
        <w:jc w:val="right"/>
        <w:rPr>
          <w:b w:val="1"/>
        </w:rPr>
      </w:pPr>
    </w:p>
    <w:p w14:paraId="34000000">
      <w:pPr>
        <w:ind w:firstLine="0" w:left="2694"/>
        <w:rPr>
          <w:b w:val="1"/>
        </w:rPr>
      </w:pPr>
    </w:p>
    <w:p w14:paraId="35000000">
      <w:pPr>
        <w:ind w:firstLine="0" w:left="2694"/>
        <w:rPr>
          <w:b w:val="1"/>
        </w:rPr>
      </w:pPr>
    </w:p>
    <w:p w14:paraId="36000000">
      <w:pPr>
        <w:ind w:firstLine="0" w:left="2694"/>
        <w:rPr>
          <w:b w:val="1"/>
        </w:rPr>
      </w:pPr>
    </w:p>
    <w:p w14:paraId="37000000">
      <w:pPr>
        <w:ind w:firstLine="0" w:left="2694"/>
        <w:rPr>
          <w:b w:val="1"/>
        </w:rPr>
      </w:pPr>
    </w:p>
    <w:p w14:paraId="38000000">
      <w:pPr>
        <w:ind w:firstLine="0" w:left="2694"/>
        <w:rPr>
          <w:b w:val="1"/>
        </w:rPr>
      </w:pPr>
    </w:p>
    <w:p w14:paraId="39000000">
      <w:pPr>
        <w:ind w:firstLine="0" w:left="2694"/>
        <w:rPr>
          <w:b w:val="1"/>
        </w:rPr>
      </w:pPr>
    </w:p>
    <w:p w14:paraId="3A000000">
      <w:pPr>
        <w:ind w:firstLine="0" w:left="2694"/>
        <w:rPr>
          <w:b w:val="1"/>
        </w:rPr>
      </w:pPr>
    </w:p>
    <w:p w14:paraId="3B000000">
      <w:pPr>
        <w:ind w:firstLine="0" w:left="2694"/>
        <w:rPr>
          <w:b w:val="1"/>
        </w:rPr>
      </w:pPr>
    </w:p>
    <w:p w14:paraId="3C000000">
      <w:pPr>
        <w:ind w:firstLine="0" w:left="2694"/>
        <w:rPr>
          <w:b w:val="1"/>
        </w:rPr>
      </w:pPr>
    </w:p>
    <w:p w14:paraId="3D000000">
      <w:pPr>
        <w:ind w:firstLine="0" w:left="2694"/>
        <w:rPr>
          <w:b w:val="1"/>
        </w:rPr>
      </w:pPr>
    </w:p>
    <w:p w14:paraId="3E000000">
      <w:pPr>
        <w:ind w:firstLine="0" w:left="2694"/>
        <w:rPr>
          <w:b w:val="1"/>
        </w:rPr>
      </w:pPr>
    </w:p>
    <w:p w14:paraId="3F000000">
      <w:pPr>
        <w:ind w:firstLine="0" w:left="2694"/>
        <w:rPr>
          <w:b w:val="1"/>
        </w:rPr>
      </w:pPr>
    </w:p>
    <w:p w14:paraId="40000000">
      <w:pPr>
        <w:ind w:firstLine="0" w:left="2694"/>
        <w:rPr>
          <w:b w:val="1"/>
        </w:rPr>
      </w:pPr>
    </w:p>
    <w:p w14:paraId="41000000">
      <w:pPr>
        <w:ind/>
        <w:jc w:val="center"/>
        <w:rPr>
          <w:b w:val="1"/>
        </w:rPr>
      </w:pPr>
      <w:r>
        <w:rPr>
          <w:b w:val="1"/>
        </w:rPr>
        <w:t xml:space="preserve"> </w:t>
      </w:r>
      <w:r>
        <w:rPr>
          <w:b w:val="1"/>
        </w:rPr>
        <w:t>НОРМАТИВЫ ГРАДОСТРОИТЕЛЬНОГО ПРОЕКТИРОВАНИЯ</w:t>
      </w:r>
      <w:r>
        <w:rPr>
          <w:b w:val="1"/>
        </w:rPr>
        <w:br/>
      </w:r>
      <w:r>
        <w:rPr>
          <w:b w:val="1"/>
        </w:rPr>
        <w:t xml:space="preserve">ДЛЯ </w:t>
      </w:r>
      <w:r>
        <w:rPr>
          <w:b w:val="1"/>
        </w:rPr>
        <w:t xml:space="preserve">ПОЛТАВСКОГО </w:t>
      </w:r>
      <w:r>
        <w:rPr>
          <w:b w:val="1"/>
        </w:rPr>
        <w:t xml:space="preserve">МУНИЦИПАЛЬНОГО РАЙОНА </w:t>
      </w:r>
      <w:r>
        <w:rPr>
          <w:b w:val="1"/>
        </w:rPr>
        <w:br/>
      </w:r>
      <w:r>
        <w:rPr>
          <w:b w:val="1"/>
        </w:rPr>
        <w:t>ОМСКОЙ ОБЛАСТИ</w:t>
      </w:r>
    </w:p>
    <w:p w14:paraId="42000000">
      <w:pPr>
        <w:ind/>
        <w:jc w:val="center"/>
        <w:rPr>
          <w:b w:val="1"/>
        </w:rPr>
      </w:pPr>
    </w:p>
    <w:p w14:paraId="43000000">
      <w:pPr>
        <w:ind/>
        <w:jc w:val="center"/>
        <w:rPr>
          <w:b w:val="1"/>
        </w:rPr>
      </w:pPr>
    </w:p>
    <w:p w14:paraId="44000000">
      <w:pPr>
        <w:sectPr>
          <w:pgSz w:h="16838" w:orient="portrait" w:w="11906"/>
          <w:pgMar w:bottom="1134" w:footer="546" w:gutter="0" w:header="426" w:left="1418" w:right="991" w:top="1134"/>
        </w:sectPr>
      </w:pPr>
    </w:p>
    <w:p w14:paraId="45000000">
      <w:pPr>
        <w:ind w:hanging="20" w:left="20"/>
        <w:jc w:val="center"/>
      </w:pPr>
      <w:r>
        <w:t>СОДЕРЖАНИЕ:</w:t>
      </w:r>
    </w:p>
    <w:p>
      <w:pPr>
        <w:pStyle w:val="Style_4"/>
        <w:tabs>
          <w:tab w:leader="dot" w:pos="9354" w:val="right"/>
        </w:tabs>
        <w:ind/>
      </w:pPr>
      <w:r>
        <w:fldChar w:fldCharType="begin"/>
      </w:r>
      <w:r>
        <w:instrText xml:space="preserve">TOC \h \z \u \o "1-2" \t "S_Заголовок 1,1,S_Заголовок 3,3,S_Заголовок 4,4"</w:instrText>
      </w:r>
      <w:r>
        <w:fldChar w:fldCharType="separate"/>
      </w:r>
      <w:r>
        <w:fldChar w:fldCharType="begin"/>
      </w:r>
      <w:r>
        <w:instrText>HYPERLINK \l "__RefHeading___1"</w:instrText>
      </w:r>
      <w:r>
        <w:fldChar w:fldCharType="separate"/>
      </w:r>
      <w:r>
        <w:t>1    ОСНОВНАЯ ЧАСТЬ</w:t>
      </w:r>
      <w:r>
        <w:tab/>
      </w:r>
      <w:r>
        <w:fldChar w:fldCharType="begin"/>
      </w:r>
      <w:r>
        <w:instrText>PAGEREF __RefHeading___1 \h</w:instrText>
      </w:r>
      <w:r>
        <w:fldChar w:fldCharType="separate"/>
      </w:r>
      <w:r>
        <w:t>4</w:t>
      </w:r>
      <w:r>
        <w:fldChar w:fldCharType="end"/>
      </w:r>
      <w:r>
        <w:fldChar w:fldCharType="end"/>
      </w:r>
    </w:p>
    <w:p w14:paraId="47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"__RefHeading___2"</w:instrText>
      </w:r>
      <w:r>
        <w:fldChar w:fldCharType="separate"/>
      </w:r>
      <w:r>
        <w:t>1.1    ТЕРМИНЫ И ОПРЕДЕЛЕНИЯ</w:t>
      </w:r>
      <w:r>
        <w:tab/>
      </w:r>
      <w:r>
        <w:fldChar w:fldCharType="begin"/>
      </w:r>
      <w:r>
        <w:instrText>PAGEREF __RefHeading___2 \h</w:instrText>
      </w:r>
      <w:r>
        <w:fldChar w:fldCharType="separate"/>
      </w:r>
      <w:r>
        <w:t>4</w:t>
      </w:r>
      <w:r>
        <w:fldChar w:fldCharType="end"/>
      </w:r>
      <w:r>
        <w:fldChar w:fldCharType="end"/>
      </w:r>
    </w:p>
    <w:p w14:paraId="48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"__RefHeading___3"</w:instrText>
      </w:r>
      <w:r>
        <w:fldChar w:fldCharType="separate"/>
      </w:r>
      <w:r>
        <w:t>1.2    ОБЩИЕ ПОЛОЖЕНИЯ</w:t>
      </w:r>
      <w:r>
        <w:tab/>
      </w:r>
      <w:r>
        <w:fldChar w:fldCharType="begin"/>
      </w:r>
      <w:r>
        <w:instrText>PAGEREF __RefHeading___3 \h</w:instrText>
      </w:r>
      <w:r>
        <w:fldChar w:fldCharType="separate"/>
      </w:r>
      <w:r>
        <w:t>4</w:t>
      </w:r>
      <w:r>
        <w:fldChar w:fldCharType="end"/>
      </w:r>
      <w:r>
        <w:fldChar w:fldCharType="end"/>
      </w:r>
    </w:p>
    <w:p w14:paraId="49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"__RefHeading___4"</w:instrText>
      </w:r>
      <w:r>
        <w:fldChar w:fldCharType="separate"/>
      </w:r>
      <w:r>
        <w:t>1.3    РАСЧЕТНЫЕ ПОКАЗАТЕЛИ МИНИМАЛЬНО ДОПУСТИМОГО УРОВНЯ ОБЕСПЕЧЕННОСТИ ОБЪЕКТАМИ МЕСТНОГО ЗНАЧЕНИЯ МУНИЦИПАЛЬНОГО РАЙОНА И РАСЧЕТНЫЕ ПОКАЗАТЕЛИ МАКСИМАЛЬНО ДОПУСТИМОГО УРОВНЯ ТЕРРИТОРИАЛЬНОЙ ДОСТУПНОСТИ ТАКИХ ОБЪЕКТОВ ДЛЯ НАСЕЛЕНИЯ МУНИЦИПАЛЬНОГО РАЙОНА</w:t>
      </w:r>
      <w:r>
        <w:tab/>
      </w:r>
      <w:r>
        <w:fldChar w:fldCharType="begin"/>
      </w:r>
      <w:r>
        <w:instrText>PAGEREF __RefHeading___4 \h</w:instrText>
      </w:r>
      <w:r>
        <w:fldChar w:fldCharType="separate"/>
      </w:r>
      <w:r>
        <w:t>6</w:t>
      </w:r>
      <w:r>
        <w:fldChar w:fldCharType="end"/>
      </w:r>
      <w:r>
        <w:fldChar w:fldCharType="end"/>
      </w:r>
    </w:p>
    <w:p w14:paraId="4A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"__RefHeading___5"</w:instrText>
      </w:r>
      <w:r>
        <w:fldChar w:fldCharType="separate"/>
      </w:r>
      <w:r>
        <w:t>1.3.1    В области автомобильных дорог</w:t>
      </w:r>
      <w:r>
        <w:tab/>
      </w:r>
      <w:r>
        <w:fldChar w:fldCharType="begin"/>
      </w:r>
      <w:r>
        <w:instrText>PAGEREF __RefHeading___5 \h</w:instrText>
      </w:r>
      <w:r>
        <w:fldChar w:fldCharType="separate"/>
      </w:r>
      <w:r>
        <w:t>6</w:t>
      </w:r>
      <w:r>
        <w:fldChar w:fldCharType="end"/>
      </w:r>
      <w:r>
        <w:fldChar w:fldCharType="end"/>
      </w:r>
    </w:p>
    <w:p w14:paraId="4B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"__RefHeading___6"</w:instrText>
      </w:r>
      <w:r>
        <w:fldChar w:fldCharType="separate"/>
      </w:r>
      <w:r>
        <w:t>1.3.2    В области электро-, тепло-, газо- и водоснабжения населения, водоотведения</w:t>
      </w:r>
      <w:r>
        <w:tab/>
      </w:r>
      <w:r>
        <w:fldChar w:fldCharType="begin"/>
      </w:r>
      <w:r>
        <w:instrText>PAGEREF __RefHeading___6 \h</w:instrText>
      </w:r>
      <w:r>
        <w:fldChar w:fldCharType="separate"/>
      </w:r>
      <w:r>
        <w:t>6</w:t>
      </w:r>
      <w:r>
        <w:fldChar w:fldCharType="end"/>
      </w:r>
      <w:r>
        <w:fldChar w:fldCharType="end"/>
      </w:r>
    </w:p>
    <w:p w14:paraId="4C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"__RefHeading___7"</w:instrText>
      </w:r>
      <w:r>
        <w:fldChar w:fldCharType="separate"/>
      </w:r>
      <w:r>
        <w:t>1.3.3 В области образования</w:t>
      </w:r>
      <w:r>
        <w:tab/>
      </w:r>
      <w:r>
        <w:fldChar w:fldCharType="begin"/>
      </w:r>
      <w:r>
        <w:instrText>PAGEREF __RefHeading___7 \h</w:instrText>
      </w:r>
      <w:r>
        <w:fldChar w:fldCharType="separate"/>
      </w:r>
      <w:r>
        <w:t>7</w:t>
      </w:r>
      <w:r>
        <w:fldChar w:fldCharType="end"/>
      </w:r>
      <w:r>
        <w:fldChar w:fldCharType="end"/>
      </w:r>
    </w:p>
    <w:p w14:paraId="4D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"__RefHeading___8"</w:instrText>
      </w:r>
      <w:r>
        <w:fldChar w:fldCharType="separate"/>
      </w:r>
      <w:r>
        <w:t>1.3.4 В области физической культуры и массового спорта</w:t>
      </w:r>
      <w:r>
        <w:tab/>
      </w:r>
      <w:r>
        <w:fldChar w:fldCharType="begin"/>
      </w:r>
      <w:r>
        <w:instrText>PAGEREF __RefHeading___8 \h</w:instrText>
      </w:r>
      <w:r>
        <w:fldChar w:fldCharType="separate"/>
      </w:r>
      <w:r>
        <w:t>10</w:t>
      </w:r>
      <w:r>
        <w:fldChar w:fldCharType="end"/>
      </w:r>
      <w:r>
        <w:fldChar w:fldCharType="end"/>
      </w:r>
    </w:p>
    <w:p w14:paraId="4E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"__RefHeading___9"</w:instrText>
      </w:r>
      <w:r>
        <w:fldChar w:fldCharType="separate"/>
      </w:r>
      <w:r>
        <w:t>1.3.5 В области культуры и искусства</w:t>
      </w:r>
      <w:r>
        <w:tab/>
      </w:r>
      <w:r>
        <w:fldChar w:fldCharType="begin"/>
      </w:r>
      <w:r>
        <w:instrText>PAGEREF __RefHeading___9 \h</w:instrText>
      </w:r>
      <w:r>
        <w:fldChar w:fldCharType="separate"/>
      </w:r>
      <w:r>
        <w:t>12</w:t>
      </w:r>
      <w:r>
        <w:fldChar w:fldCharType="end"/>
      </w:r>
      <w:r>
        <w:fldChar w:fldCharType="end"/>
      </w:r>
    </w:p>
    <w:p w14:paraId="4F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"__RefHeading___10"</w:instrText>
      </w:r>
      <w:r>
        <w:fldChar w:fldCharType="separate"/>
      </w:r>
      <w:r>
        <w:t>1.3.6 В области жилищного строительства</w:t>
      </w:r>
      <w:r>
        <w:tab/>
      </w:r>
      <w:r>
        <w:fldChar w:fldCharType="begin"/>
      </w:r>
      <w:r>
        <w:instrText>PAGEREF __RefHeading___10 \h</w:instrText>
      </w:r>
      <w:r>
        <w:fldChar w:fldCharType="separate"/>
      </w:r>
      <w:r>
        <w:t>13</w:t>
      </w:r>
      <w:r>
        <w:fldChar w:fldCharType="end"/>
      </w:r>
      <w:r>
        <w:fldChar w:fldCharType="end"/>
      </w:r>
    </w:p>
    <w:p w14:paraId="50000000">
      <w:pPr>
        <w:pStyle w:val="Style_4"/>
        <w:tabs>
          <w:tab w:leader="dot" w:pos="9354" w:val="right"/>
        </w:tabs>
        <w:ind/>
      </w:pPr>
      <w:r>
        <w:fldChar w:fldCharType="begin"/>
      </w:r>
      <w:r>
        <w:instrText>HYPERLINK \l "__RefHeading___11"</w:instrText>
      </w:r>
      <w:r>
        <w:fldChar w:fldCharType="separate"/>
      </w:r>
      <w:r>
        <w:t>2    МАТЕРИАЛЫ ПО ОБОСНОВАНИЮ РАСЧЕТНЫХ ПОКАЗАТЕЛЕЙ, СОДЕРЖАЩИХСЯ В ОСНОВОЙ ЧАСТИ местных НОРМАТИВОВ ГРАДОСТРОИТЕЛЬНОГО ПРОЕКТИРОВАНИЯ</w:t>
      </w:r>
      <w:r>
        <w:tab/>
      </w:r>
      <w:r>
        <w:fldChar w:fldCharType="begin"/>
      </w:r>
      <w:r>
        <w:instrText>PAGEREF __RefHeading___11 \h</w:instrText>
      </w:r>
      <w:r>
        <w:fldChar w:fldCharType="separate"/>
      </w:r>
      <w:r>
        <w:t>14</w:t>
      </w:r>
      <w:r>
        <w:fldChar w:fldCharType="end"/>
      </w:r>
      <w:r>
        <w:fldChar w:fldCharType="end"/>
      </w:r>
    </w:p>
    <w:p w14:paraId="51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"__RefHeading___12"</w:instrText>
      </w:r>
      <w:r>
        <w:fldChar w:fldCharType="separate"/>
      </w:r>
      <w:r>
        <w:t>2.1 Результаты анализа административно-территориального устройства, природно-климатических и социально-экономических условий развития, влияющих на установление расчетных показателей</w:t>
      </w:r>
      <w:r>
        <w:tab/>
      </w:r>
      <w:r>
        <w:fldChar w:fldCharType="begin"/>
      </w:r>
      <w:r>
        <w:instrText>PAGEREF __RefHeading___12 \h</w:instrText>
      </w:r>
      <w:r>
        <w:fldChar w:fldCharType="separate"/>
      </w:r>
      <w:r>
        <w:t>14</w:t>
      </w:r>
      <w:r>
        <w:fldChar w:fldCharType="end"/>
      </w:r>
      <w:r>
        <w:fldChar w:fldCharType="end"/>
      </w:r>
    </w:p>
    <w:p w14:paraId="52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"__RefHeading___13"</w:instrText>
      </w:r>
      <w:r>
        <w:fldChar w:fldCharType="separate"/>
      </w:r>
      <w:r>
        <w:t>2.2 Обоснование расчетных показателей, содержащихся в основной части местных нормативов градостроительного проектирования</w:t>
      </w:r>
      <w:r>
        <w:tab/>
      </w:r>
      <w:r>
        <w:fldChar w:fldCharType="begin"/>
      </w:r>
      <w:r>
        <w:instrText>PAGEREF __RefHeading___13 \h</w:instrText>
      </w:r>
      <w:r>
        <w:fldChar w:fldCharType="separate"/>
      </w:r>
      <w:r>
        <w:t>15</w:t>
      </w:r>
      <w:r>
        <w:fldChar w:fldCharType="end"/>
      </w:r>
      <w:r>
        <w:fldChar w:fldCharType="end"/>
      </w:r>
    </w:p>
    <w:p w14:paraId="53000000">
      <w:pPr>
        <w:pStyle w:val="Style_4"/>
        <w:tabs>
          <w:tab w:leader="dot" w:pos="9354" w:val="right"/>
        </w:tabs>
        <w:ind/>
      </w:pPr>
      <w:r>
        <w:fldChar w:fldCharType="begin"/>
      </w:r>
      <w:r>
        <w:instrText>HYPERLINK \l "__RefHeading___14"</w:instrText>
      </w:r>
      <w:r>
        <w:fldChar w:fldCharType="separate"/>
      </w:r>
      <w:r>
        <w:t>3 ПРАВИЛА И ОБЛАСТЬ ПРИМЕНЕНИЯ РАСЧЕТНЫХ ПОКАЗАТЕЛЕЙ</w:t>
      </w:r>
      <w:r>
        <w:tab/>
      </w:r>
      <w:r>
        <w:fldChar w:fldCharType="begin"/>
      </w:r>
      <w:r>
        <w:instrText>PAGEREF __RefHeading___14 \h</w:instrText>
      </w:r>
      <w:r>
        <w:fldChar w:fldCharType="separate"/>
      </w:r>
      <w:r>
        <w:t>19</w:t>
      </w:r>
      <w:r>
        <w:fldChar w:fldCharType="end"/>
      </w:r>
      <w:r>
        <w:fldChar w:fldCharType="end"/>
      </w:r>
    </w:p>
    <w:p w14:paraId="54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"__RefHeading___15"</w:instrText>
      </w:r>
      <w:r>
        <w:fldChar w:fldCharType="separate"/>
      </w:r>
      <w:r>
        <w:t>ПРИЛОЖЕНИЕ А. ПЕРЕЧЕНЬ ОСНОВНЫХ НОРМАТИВНЫХ И НОРМАТИВНО-ТЕХНИЧЕСКИХ ДОКУМЕНТОВ</w:t>
      </w:r>
      <w:r>
        <w:tab/>
      </w:r>
      <w:r>
        <w:fldChar w:fldCharType="begin"/>
      </w:r>
      <w:r>
        <w:instrText>PAGEREF __RefHeading___15 \h</w:instrText>
      </w:r>
      <w:r>
        <w:fldChar w:fldCharType="separate"/>
      </w:r>
      <w:r>
        <w:t>21</w:t>
      </w:r>
      <w:r>
        <w:fldChar w:fldCharType="end"/>
      </w:r>
      <w:r>
        <w:fldChar w:fldCharType="end"/>
      </w:r>
    </w:p>
    <w:p w14:paraId="55000000">
      <w:pPr>
        <w:pStyle w:val="Style_5"/>
        <w:tabs>
          <w:tab w:leader="dot" w:pos="9354" w:val="right"/>
        </w:tabs>
        <w:ind/>
      </w:pPr>
      <w:r>
        <w:fldChar w:fldCharType="begin"/>
      </w:r>
      <w:r>
        <w:instrText>HYPERLINK \l "__RefHeading___16"</w:instrText>
      </w:r>
      <w:r>
        <w:fldChar w:fldCharType="separate"/>
      </w:r>
      <w:r>
        <w:t>ПРИЛОЖЕНИЕ Б. СХЕМА РАССЕЛЕНИЯ МУНИЦИПАЛЬНОГО РАЙОНА</w:t>
      </w:r>
      <w:r>
        <w:tab/>
      </w:r>
      <w:r>
        <w:fldChar w:fldCharType="begin"/>
      </w:r>
      <w:r>
        <w:instrText>PAGEREF __RefHeading___16 \h</w:instrText>
      </w:r>
      <w:r>
        <w:fldChar w:fldCharType="separate"/>
      </w:r>
      <w:r>
        <w:t>23</w:t>
      </w:r>
      <w:r>
        <w:fldChar w:fldCharType="end"/>
      </w:r>
      <w:r>
        <w:fldChar w:fldCharType="end"/>
      </w:r>
    </w:p>
    <w:p>
      <w:r>
        <w:fldChar w:fldCharType="end"/>
      </w:r>
    </w:p>
    <w:p w14:paraId="57000000">
      <w:pPr>
        <w:sectPr>
          <w:pgSz w:h="16838" w:orient="portrait" w:w="11906"/>
          <w:pgMar w:bottom="1134" w:footer="544" w:gutter="0" w:header="425" w:left="1701" w:right="851" w:top="1134"/>
        </w:sectPr>
      </w:pPr>
    </w:p>
    <w:p w14:paraId="58000000">
      <w:bookmarkStart w:id="1" w:name="__RefHeading___1"/>
      <w:bookmarkEnd w:id="1"/>
      <w:pPr>
        <w:pStyle w:val="Style_6"/>
        <w:numPr>
          <w:ilvl w:val="0"/>
          <w:numId w:val="1"/>
        </w:numPr>
        <w:tabs>
          <w:tab w:leader="none" w:pos="851" w:val="clear"/>
          <w:tab w:leader="none" w:pos="993" w:val="left"/>
        </w:tabs>
        <w:ind w:firstLine="709" w:left="0"/>
        <w:jc w:val="both"/>
        <w:rPr>
          <w:sz w:val="26"/>
        </w:rPr>
      </w:pPr>
      <w:r>
        <w:rPr>
          <w:sz w:val="26"/>
        </w:rPr>
        <w:t>ОСНОВНАЯ ЧАСТЬ</w:t>
      </w:r>
    </w:p>
    <w:p w14:paraId="59000000">
      <w:bookmarkStart w:id="2" w:name="__RefHeading___2"/>
      <w:bookmarkEnd w:id="2"/>
      <w:pPr>
        <w:pStyle w:val="Style_7"/>
        <w:numPr>
          <w:ilvl w:val="1"/>
          <w:numId w:val="1"/>
        </w:numPr>
        <w:spacing w:after="120" w:before="240"/>
        <w:ind w:firstLine="709" w:left="0"/>
        <w:jc w:val="both"/>
        <w:rPr>
          <w:sz w:val="26"/>
        </w:rPr>
      </w:pPr>
      <w:r>
        <w:rPr>
          <w:sz w:val="26"/>
        </w:rPr>
        <w:t>ТЕРМИНЫ И ОПРЕДЕЛЕНИЯ</w:t>
      </w:r>
    </w:p>
    <w:p w14:paraId="5A000000">
      <w:pPr>
        <w:pStyle w:val="Style_8"/>
        <w:spacing w:after="0" w:before="0"/>
        <w:ind w:firstLine="709" w:left="0"/>
      </w:pPr>
      <w:r>
        <w:t>Обеспеченность– показатель, характеризующий наличие и параметры объектов местного значения, подлежащих нормированию.</w:t>
      </w:r>
    </w:p>
    <w:p w14:paraId="5B000000">
      <w:pPr>
        <w:pStyle w:val="Style_8"/>
        <w:spacing w:after="0" w:before="0"/>
        <w:ind w:firstLine="709" w:left="0"/>
      </w:pPr>
      <w:r>
        <w:t>Территориальная д</w:t>
      </w:r>
      <w:r>
        <w:t>оступность– показатель, характеризующий затраты времени на передвижение до объектов местного значения, подлежащих нормированию.</w:t>
      </w:r>
    </w:p>
    <w:p w14:paraId="5C000000">
      <w:pPr>
        <w:pStyle w:val="Style_8"/>
        <w:spacing w:after="0" w:before="0"/>
        <w:ind w:firstLine="709" w:left="0"/>
      </w:pPr>
      <w:r>
        <w:t>Пешеходная доступность – показатель, характеризующий затраты времени на достижение объекта нормирования от дома при пешеходном движении со средней скоростью 3,5 км/ч в условиях стандартной для данной местности погоды.</w:t>
      </w:r>
    </w:p>
    <w:p w14:paraId="5D000000">
      <w:pPr>
        <w:pStyle w:val="Style_8"/>
        <w:spacing w:after="0" w:before="0"/>
        <w:ind w:firstLine="709" w:left="0"/>
      </w:pPr>
      <w:r>
        <w:t>Транспортная доступность – показатель, характеризующий затраты времени на преодоление расстояния от дома до объекта нормирования при помощи общественного транспорта (при средней скорости движения 40 км/ч) без учета времени ожидания на остановочных пунктах.</w:t>
      </w:r>
    </w:p>
    <w:p w14:paraId="5E000000">
      <w:pPr>
        <w:pStyle w:val="Style_8"/>
        <w:spacing w:after="0" w:before="0"/>
        <w:ind w:firstLine="709" w:left="0"/>
      </w:pPr>
      <w:r>
        <w:t>Групповые системы расселения – это территориально и функционально взаимосвязанная совокупность населенных пунктов. Связность населенных пунктов с центром системы расселения по принципу единой системы обслуживания объектами повседневного и периодического пользования выступает основным критерием при определении</w:t>
      </w:r>
      <w:r>
        <w:t xml:space="preserve"> </w:t>
      </w:r>
      <w:r>
        <w:t>ее границ. Групповые системы расселения не привязаны к административным границам муниципальных образований и могут включать в себя населенные пункты из разных поселений.</w:t>
      </w:r>
    </w:p>
    <w:p w14:paraId="5F000000">
      <w:pPr>
        <w:pStyle w:val="Style_8"/>
        <w:spacing w:after="0" w:before="0"/>
        <w:ind w:firstLine="709" w:left="0"/>
      </w:pPr>
      <w:r>
        <w:t>Плотность сети автомобильных дорог – это отношение протяженности сети автомобильных дорог общего пользования, проходящих по территории, к площади территории.</w:t>
      </w:r>
    </w:p>
    <w:p w14:paraId="60000000">
      <w:pPr>
        <w:pStyle w:val="Style_8"/>
        <w:spacing w:after="0" w:before="0"/>
        <w:ind w:firstLine="709" w:left="0"/>
      </w:pPr>
      <w:r>
        <w:t>Протяженность сети автомобильных дорог общего пользования – суммарная протяженность участков автомобильных дорог, образующих сеть автомобильных дорог общего пользования.</w:t>
      </w:r>
    </w:p>
    <w:p w14:paraId="61000000">
      <w:bookmarkStart w:id="3" w:name="__RefHeading___3"/>
      <w:bookmarkEnd w:id="3"/>
      <w:pPr>
        <w:pStyle w:val="Style_7"/>
        <w:numPr>
          <w:ilvl w:val="1"/>
          <w:numId w:val="1"/>
        </w:numPr>
        <w:spacing w:after="120" w:before="240"/>
        <w:ind w:firstLine="709" w:left="0"/>
        <w:jc w:val="both"/>
        <w:rPr>
          <w:sz w:val="24"/>
        </w:rPr>
      </w:pPr>
      <w:r>
        <w:rPr>
          <w:sz w:val="24"/>
        </w:rPr>
        <w:t>ОБЩИЕ ПОЛОЖЕНИЯ</w:t>
      </w:r>
    </w:p>
    <w:p w14:paraId="62000000">
      <w:pPr>
        <w:pStyle w:val="Style_8"/>
        <w:spacing w:after="0" w:before="0"/>
        <w:ind w:firstLine="709" w:left="0"/>
      </w:pPr>
      <w:r>
        <w:t>Местные нормативы градостроительного проектирования разработаны на основании пункта 2 части2 статьи 8, части 1 статьи 29.4 Градостроительного кодекса Российской Федерации.</w:t>
      </w:r>
    </w:p>
    <w:p w14:paraId="63000000">
      <w:pPr>
        <w:pStyle w:val="Style_8"/>
        <w:spacing w:after="0" w:before="0"/>
        <w:ind w:firstLine="709" w:left="0"/>
      </w:pPr>
      <w:r>
        <w:t xml:space="preserve">Местные нормативы градостроительного проектирования разработаны с учетом целей и задач социально-экономического развития, декларированных Стратегией социально-экономического развития </w:t>
      </w:r>
      <w:r>
        <w:t>Полтавского</w:t>
      </w:r>
      <w:r>
        <w:t xml:space="preserve"> муницип</w:t>
      </w:r>
      <w:r>
        <w:t>ального района Омской области до 2030 года и Плана мероприятий реализации Стратегии</w:t>
      </w:r>
      <w:r>
        <w:t xml:space="preserve">, утвержденной </w:t>
      </w:r>
      <w:r>
        <w:t>решением Совета</w:t>
      </w:r>
      <w:r>
        <w:t xml:space="preserve"> </w:t>
      </w:r>
      <w:r>
        <w:t>Полтавского</w:t>
      </w:r>
      <w:r>
        <w:t xml:space="preserve"> </w:t>
      </w:r>
      <w:r>
        <w:t xml:space="preserve">муниципального района Омской области от </w:t>
      </w:r>
      <w:r>
        <w:t>28.12.2018</w:t>
      </w:r>
      <w:r>
        <w:t xml:space="preserve"> </w:t>
      </w:r>
      <w:r>
        <w:t>года № 72</w:t>
      </w:r>
      <w:r>
        <w:t>.</w:t>
      </w:r>
    </w:p>
    <w:p w14:paraId="64000000">
      <w:pPr>
        <w:pStyle w:val="Style_8"/>
        <w:spacing w:after="0" w:before="0"/>
        <w:ind w:firstLine="709" w:left="0"/>
      </w:pPr>
      <w:r>
        <w:t>Области нормирования приняты в соответствии с региональными нормативами градостроительного проектирования</w:t>
      </w:r>
      <w:r>
        <w:t xml:space="preserve"> Омской области</w:t>
      </w:r>
      <w:r>
        <w:t>.</w:t>
      </w:r>
    </w:p>
    <w:p w14:paraId="65000000">
      <w:pPr>
        <w:pStyle w:val="Style_8"/>
        <w:spacing w:after="0" w:before="0"/>
        <w:ind w:firstLine="709" w:left="0"/>
      </w:pPr>
      <w:r>
        <w:t>Расчетные показатели обеспеченности объектами местного значения выражены в виде:</w:t>
      </w:r>
    </w:p>
    <w:p w14:paraId="66000000">
      <w:pPr>
        <w:pStyle w:val="Style_9"/>
        <w:numPr>
          <w:ilvl w:val="0"/>
          <w:numId w:val="2"/>
        </w:numPr>
        <w:tabs>
          <w:tab w:leader="none" w:pos="993" w:val="left"/>
        </w:tabs>
        <w:spacing w:after="0"/>
        <w:ind w:firstLine="709" w:left="0"/>
      </w:pPr>
      <w:r>
        <w:t>удельной мощности какого-либо вида инфраструктуры, приходящейся на единицу населения или единицу площади; в отдельных случаях показатель обеспеченности населения объектами выражен отношением количества объектов определенного типа к территории муниципального образования;</w:t>
      </w:r>
    </w:p>
    <w:p w14:paraId="67000000">
      <w:pPr>
        <w:pStyle w:val="Style_9"/>
        <w:numPr>
          <w:ilvl w:val="0"/>
          <w:numId w:val="2"/>
        </w:numPr>
        <w:tabs>
          <w:tab w:leader="none" w:pos="993" w:val="left"/>
        </w:tabs>
        <w:spacing w:after="0"/>
        <w:ind w:firstLine="709" w:left="0"/>
      </w:pPr>
      <w:r>
        <w:t>удельного размера земельного участка, приходящегося на единицу мощности объекта определенного вида;</w:t>
      </w:r>
    </w:p>
    <w:p w14:paraId="68000000">
      <w:pPr>
        <w:pStyle w:val="Style_9"/>
        <w:numPr>
          <w:ilvl w:val="0"/>
          <w:numId w:val="2"/>
        </w:numPr>
        <w:tabs>
          <w:tab w:leader="none" w:pos="993" w:val="left"/>
        </w:tabs>
        <w:spacing w:after="0"/>
        <w:ind w:firstLine="709" w:left="0"/>
      </w:pPr>
      <w:r>
        <w:t>интенсивности использования территории.</w:t>
      </w:r>
    </w:p>
    <w:p w14:paraId="69000000">
      <w:pPr>
        <w:pStyle w:val="Style_8"/>
        <w:spacing w:after="0" w:before="0"/>
        <w:ind w:firstLine="709" w:left="0"/>
      </w:pPr>
      <w:r>
        <w:t>Интенсивность использования территории выступает в качестве предельного расчетного показателя обеспеченности населения объектами жилищного строительства и представляет собой максимальное значение расчетной плотности населения на территории многоквартирной жилой застройки. Расчетная плотность населения учитывает требования по обеспеченности населения объектами социальной, транспортной и коммунальной инфраструктур, объектами благоустройства, требования противопожарной защиты, санитарно-эпидемиологические требования, обеспечивающие благоприятные условия жизнедеятельности.</w:t>
      </w:r>
    </w:p>
    <w:p w14:paraId="6A000000">
      <w:pPr>
        <w:pStyle w:val="Style_8"/>
        <w:spacing w:after="0" w:before="0"/>
        <w:ind w:firstLine="709" w:left="0"/>
      </w:pPr>
      <w:r>
        <w:t>В иных областях расчетные показатели обеспеченности населения объектами определяют минимальные значения</w:t>
      </w:r>
      <w:r>
        <w:t>.</w:t>
      </w:r>
    </w:p>
    <w:p w14:paraId="6B000000">
      <w:pPr>
        <w:pStyle w:val="Style_9"/>
        <w:numPr>
          <w:ilvl w:val="0"/>
          <w:numId w:val="0"/>
        </w:numPr>
        <w:spacing w:after="0"/>
        <w:ind w:firstLine="709" w:left="0"/>
      </w:pPr>
      <w:r>
        <w:t>Расчетные показатели максимально допустимого уровня территориальной доступности объектов местного значения</w:t>
      </w:r>
      <w:r>
        <w:t xml:space="preserve"> </w:t>
      </w:r>
      <w:r>
        <w:t>выражены в виде</w:t>
      </w:r>
      <w:r>
        <w:t xml:space="preserve"> </w:t>
      </w:r>
      <w:r>
        <w:t>пешеходной и транспортной доступности.</w:t>
      </w:r>
    </w:p>
    <w:p w14:paraId="6C000000">
      <w:pPr>
        <w:pStyle w:val="Style_8"/>
        <w:spacing w:after="0" w:before="0"/>
        <w:ind w:firstLine="709" w:left="0"/>
      </w:pPr>
      <w:r>
        <w:t>Значения расчетных показателей учитывают:</w:t>
      </w:r>
    </w:p>
    <w:p w14:paraId="6D000000">
      <w:pPr>
        <w:pStyle w:val="Style_9"/>
        <w:numPr>
          <w:ilvl w:val="0"/>
          <w:numId w:val="2"/>
        </w:numPr>
        <w:tabs>
          <w:tab w:leader="none" w:pos="993" w:val="left"/>
        </w:tabs>
        <w:spacing w:after="0"/>
        <w:ind w:firstLine="709" w:left="0"/>
      </w:pPr>
      <w:r>
        <w:t xml:space="preserve">природно-климатические условия и ресурсы; </w:t>
      </w:r>
    </w:p>
    <w:p w14:paraId="6E000000">
      <w:pPr>
        <w:pStyle w:val="Style_9"/>
        <w:numPr>
          <w:ilvl w:val="0"/>
          <w:numId w:val="2"/>
        </w:numPr>
        <w:tabs>
          <w:tab w:leader="none" w:pos="993" w:val="left"/>
        </w:tabs>
        <w:spacing w:after="0"/>
        <w:ind w:firstLine="709" w:left="0"/>
      </w:pPr>
      <w:r>
        <w:t>демографическую ситуацию;</w:t>
      </w:r>
    </w:p>
    <w:p w14:paraId="6F000000">
      <w:pPr>
        <w:pStyle w:val="Style_9"/>
        <w:numPr>
          <w:ilvl w:val="0"/>
          <w:numId w:val="2"/>
        </w:numPr>
        <w:tabs>
          <w:tab w:leader="none" w:pos="993" w:val="left"/>
        </w:tabs>
        <w:spacing w:after="0"/>
        <w:ind w:firstLine="709" w:left="0"/>
      </w:pPr>
      <w:r>
        <w:t>систему расселения муниципального района (групповые системы расселения);</w:t>
      </w:r>
    </w:p>
    <w:p w14:paraId="70000000">
      <w:pPr>
        <w:pStyle w:val="Style_9"/>
        <w:numPr>
          <w:ilvl w:val="0"/>
          <w:numId w:val="2"/>
        </w:numPr>
        <w:tabs>
          <w:tab w:leader="none" w:pos="993" w:val="left"/>
        </w:tabs>
        <w:spacing w:after="0"/>
        <w:ind w:firstLine="709" w:left="0"/>
      </w:pPr>
      <w:r>
        <w:t>фактический уровень обеспеченности населения инфраструктурными объектами;</w:t>
      </w:r>
    </w:p>
    <w:p w14:paraId="71000000">
      <w:pPr>
        <w:pStyle w:val="Style_9"/>
        <w:numPr>
          <w:ilvl w:val="0"/>
          <w:numId w:val="2"/>
        </w:numPr>
        <w:tabs>
          <w:tab w:leader="none" w:pos="993" w:val="left"/>
        </w:tabs>
        <w:spacing w:after="0"/>
        <w:ind w:firstLine="709" w:left="0"/>
      </w:pPr>
      <w:r>
        <w:t>общественны</w:t>
      </w:r>
      <w:r>
        <w:t>е</w:t>
      </w:r>
      <w:r>
        <w:t xml:space="preserve"> приоритет</w:t>
      </w:r>
      <w:r>
        <w:t>ы</w:t>
      </w:r>
      <w:r>
        <w:t xml:space="preserve"> </w:t>
      </w:r>
      <w:r>
        <w:t>в сфере градостроительного развития территории муниципального образования.</w:t>
      </w:r>
    </w:p>
    <w:p w14:paraId="72000000">
      <w:pPr>
        <w:pStyle w:val="Style_9"/>
        <w:numPr>
          <w:ilvl w:val="0"/>
          <w:numId w:val="0"/>
        </w:numPr>
        <w:spacing w:after="0"/>
        <w:ind w:firstLine="709" w:left="0"/>
      </w:pPr>
      <w:r>
        <w:t>Расчетные показатели установлены для объектов местного значения</w:t>
      </w:r>
      <w:r>
        <w:t xml:space="preserve"> </w:t>
      </w:r>
      <w:r>
        <w:t>с учетом предельных значений расчетных показателей минимально допустимого уровня обеспеченности объектами местного значения, предельных значений расчетных показателей максимально допустимого уровня территориальной доступности указанных объектов, установленных региональными нормативами градостроительного проектирования Омской области</w:t>
      </w:r>
      <w:r>
        <w:t>.</w:t>
      </w:r>
    </w:p>
    <w:p w14:paraId="73000000">
      <w:pPr>
        <w:pStyle w:val="Style_8"/>
        <w:spacing w:after="0" w:before="0"/>
        <w:ind w:firstLine="709" w:left="0"/>
      </w:pPr>
      <w:r>
        <w:t>Значения расчетных показателей учитывают предпочтения населения относительно развития территории, выявленные в ходе социологического исследования по выявлению общественного запроса на улучшение качества жизнеустройства, проведенного при подготовке настоящих местных нормативов градостроительного проектирования.</w:t>
      </w:r>
    </w:p>
    <w:p w14:paraId="74000000">
      <w:pPr>
        <w:pStyle w:val="Style_8"/>
        <w:spacing w:after="0" w:before="0"/>
        <w:ind w:firstLine="709" w:left="0"/>
      </w:pPr>
      <w:r>
        <w:t>По вопросам, не урегулированным в настоящих нормативах, следует применять нормативные и нормативно-технические документы, действующие на территории Российской Федерации в соответствии с требованиями Федерального закона от 27.12.2002 № 184-ФЗ «О техническом регулировании», иные федеральные нормативные правовые акты, а также нормативные правовые акты, действующие на территории Омской области.</w:t>
      </w:r>
    </w:p>
    <w:p w14:paraId="75000000">
      <w:pPr>
        <w:pStyle w:val="Style_8"/>
      </w:pPr>
    </w:p>
    <w:p w14:paraId="76000000">
      <w:pPr>
        <w:sectPr>
          <w:headerReference r:id="rId1" w:type="default"/>
          <w:footerReference r:id="rId2" w:type="default"/>
          <w:pgSz w:h="16838" w:orient="portrait" w:w="11906"/>
          <w:pgMar w:bottom="1134" w:footer="544" w:gutter="0" w:header="425" w:left="1701" w:right="851" w:top="1134"/>
        </w:sectPr>
      </w:pPr>
    </w:p>
    <w:p w14:paraId="77000000">
      <w:bookmarkStart w:id="4" w:name="__RefHeading___4"/>
      <w:bookmarkEnd w:id="4"/>
      <w:pPr>
        <w:pStyle w:val="Style_7"/>
        <w:numPr>
          <w:ilvl w:val="1"/>
          <w:numId w:val="1"/>
        </w:numPr>
        <w:tabs>
          <w:tab w:leader="none" w:pos="567" w:val="left"/>
          <w:tab w:leader="none" w:pos="1134" w:val="clear"/>
        </w:tabs>
        <w:spacing w:before="0"/>
        <w:ind w:firstLine="709" w:left="0"/>
        <w:jc w:val="both"/>
        <w:rPr>
          <w:sz w:val="26"/>
        </w:rPr>
      </w:pPr>
      <w:r>
        <w:rPr>
          <w:sz w:val="26"/>
        </w:rPr>
        <w:t xml:space="preserve">РАСЧЕТНЫЕ ПОКАЗАТЕЛИ МИНИМАЛЬНО ДОПУСТИМОГО УРОВНЯ ОБЕСПЕЧЕННОСТИ ОБЪЕКТАМИ МЕСТНОГО ЗНАЧЕНИЯ </w:t>
      </w:r>
      <w:r>
        <w:rPr>
          <w:sz w:val="26"/>
        </w:rPr>
        <w:t>МУНИЦИПАЛЬНОГО РАЙОНА И</w:t>
      </w:r>
      <w:r>
        <w:rPr>
          <w:sz w:val="26"/>
        </w:rPr>
        <w:t xml:space="preserve"> РАСЧЕТНЫЕ ПОКАЗАТЕЛИ </w:t>
      </w:r>
      <w:r>
        <w:rPr>
          <w:sz w:val="26"/>
        </w:rPr>
        <w:t>МАКСИМАЛЬНО ДОПУСТИМОГО УРОВНЯ ТЕРРИТОРИАЛЬНОЙ ДОСТУПНОСТИ ТАКИХ ОБЪЕКТОВ ДЛЯ НАСЕЛЕНИЯ</w:t>
      </w:r>
      <w:r>
        <w:rPr>
          <w:sz w:val="26"/>
        </w:rPr>
        <w:t xml:space="preserve"> </w:t>
      </w:r>
      <w:r>
        <w:rPr>
          <w:sz w:val="26"/>
        </w:rPr>
        <w:t>МУНИЦИПАЛЬНОГО РАЙОНА</w:t>
      </w:r>
    </w:p>
    <w:p w14:paraId="78000000">
      <w:pPr>
        <w:pStyle w:val="Style_8"/>
        <w:spacing w:after="0" w:before="0"/>
        <w:ind w:firstLine="709" w:left="0"/>
      </w:pPr>
      <w:r>
        <w:t>Местные нормативы градостроительного проектирования устанавливают совокупность расчетных показателей минимально допустимого уровня обеспеченности и максимально допустимого уровня территориальной доступности в области электро-, тепло-, газо- и водоснабжения населения, водоотведения, в области автомобильных дорог, в области физической культуры и массового спорта, в области образования, в области культуры и искусства, в области жилищного строительства.</w:t>
      </w:r>
    </w:p>
    <w:p w14:paraId="79000000">
      <w:pPr>
        <w:pStyle w:val="Style_8"/>
        <w:spacing w:before="0"/>
        <w:ind w:firstLine="709" w:left="0"/>
      </w:pPr>
      <w:r>
        <w:t xml:space="preserve">В соответствии с пунктом 5 раздела IV Методических рекомендаций по подготовке нормативов градостроительного проектирования, утвержденных приказом Минэкономразвития России от 15.02.2021 № 71, расчетные показатели в области молодежной политики, в области архивного дела, в области обращения с безнадзорными животными, в области содержания на территории муниципального района межпоселенческих мест захоронения и организация ритуальных услуг принимаются равными предельным значениям расчетных показателей для объектов местного значения, </w:t>
      </w:r>
      <w:r>
        <w:t>установленным</w:t>
      </w:r>
      <w:r>
        <w:t xml:space="preserve"> </w:t>
      </w:r>
      <w:r>
        <w:t>региональными нормативами градостроительного проектирования Омской области.</w:t>
      </w:r>
    </w:p>
    <w:p w14:paraId="7A000000">
      <w:bookmarkStart w:id="5" w:name="__RefHeading___5"/>
      <w:bookmarkEnd w:id="5"/>
      <w:pPr>
        <w:pStyle w:val="Style_7"/>
        <w:numPr>
          <w:ilvl w:val="2"/>
          <w:numId w:val="1"/>
        </w:numPr>
        <w:tabs>
          <w:tab w:leader="none" w:pos="567" w:val="left"/>
        </w:tabs>
        <w:spacing w:before="0"/>
        <w:ind w:firstLine="709" w:left="0"/>
        <w:jc w:val="both"/>
        <w:rPr>
          <w:sz w:val="24"/>
        </w:rPr>
      </w:pPr>
      <w:r>
        <w:rPr>
          <w:sz w:val="24"/>
        </w:rPr>
        <w:t>В области автомобильных дорог</w:t>
      </w:r>
    </w:p>
    <w:p w14:paraId="7B000000">
      <w:pPr>
        <w:pStyle w:val="Style_10"/>
        <w:spacing w:after="0" w:before="0"/>
        <w:ind/>
        <w:jc w:val="both"/>
        <w:rPr>
          <w:sz w:val="20"/>
        </w:rPr>
      </w:pPr>
      <w:r>
        <w:rPr>
          <w:sz w:val="20"/>
        </w:rPr>
        <w:t xml:space="preserve">Таблица </w:t>
      </w:r>
      <w:r>
        <w:rPr>
          <w:sz w:val="20"/>
        </w:rPr>
        <w:t>1</w:t>
      </w:r>
      <w:r>
        <w:rPr>
          <w:sz w:val="20"/>
        </w:rPr>
        <w:t xml:space="preserve"> – Расчетные показатели для объектов местного значения муниципального района </w:t>
      </w:r>
      <w:r>
        <w:rPr>
          <w:sz w:val="20"/>
        </w:rPr>
        <w:br/>
      </w:r>
      <w:r>
        <w:rPr>
          <w:sz w:val="20"/>
        </w:rPr>
        <w:t xml:space="preserve">в области автомобильных дорог </w:t>
      </w:r>
    </w:p>
    <w:tbl>
      <w:tblPr>
        <w:tblStyle w:val="Style_11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3741"/>
        <w:gridCol w:w="4017"/>
        <w:gridCol w:w="1367"/>
      </w:tblGrid>
      <w:tr>
        <w:trPr>
          <w:tblHeader/>
        </w:trPr>
        <w:tc>
          <w:tcPr>
            <w:tcW w:type="dxa" w:w="37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C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Наименование вида </w:t>
            </w:r>
            <w:r>
              <w:rPr>
                <w:b w:val="1"/>
                <w:sz w:val="20"/>
              </w:rPr>
              <w:t>объекта</w:t>
            </w:r>
          </w:p>
        </w:tc>
        <w:tc>
          <w:tcPr>
            <w:tcW w:type="dxa" w:w="40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D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Наименование нормируемого расчетного показателя, </w:t>
            </w:r>
          </w:p>
          <w:p w14:paraId="7E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единица измерения</w:t>
            </w:r>
          </w:p>
        </w:tc>
        <w:tc>
          <w:tcPr>
            <w:tcW w:type="dxa" w:w="1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F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Значение расчетного показателя</w:t>
            </w:r>
          </w:p>
        </w:tc>
      </w:tr>
      <w:tr>
        <w:trPr>
          <w:tblHeader/>
        </w:trPr>
        <w:tc>
          <w:tcPr>
            <w:tcW w:type="dxa" w:w="37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</w:tcMar>
          </w:tcPr>
          <w:p w14:paraId="80000000">
            <w:pPr>
              <w:rPr>
                <w:b w:val="1"/>
                <w:sz w:val="20"/>
              </w:rPr>
            </w:pPr>
            <w:r>
              <w:rPr>
                <w:sz w:val="20"/>
              </w:rPr>
              <w:t xml:space="preserve">Автомобильные дороги местного значения муниципального района вне границ населенных пунктов поселений </w:t>
            </w:r>
            <w:r>
              <w:rPr>
                <w:sz w:val="20"/>
              </w:rPr>
              <w:br/>
            </w:r>
            <w:r>
              <w:rPr>
                <w:sz w:val="20"/>
              </w:rPr>
              <w:t>в границах муниципального района</w:t>
            </w:r>
          </w:p>
        </w:tc>
        <w:tc>
          <w:tcPr>
            <w:tcW w:type="dxa" w:w="40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</w:tcMar>
          </w:tcPr>
          <w:p w14:paraId="81000000">
            <w:pPr>
              <w:rPr>
                <w:b w:val="1"/>
                <w:sz w:val="20"/>
              </w:rPr>
            </w:pPr>
            <w:r>
              <w:rPr>
                <w:sz w:val="20"/>
              </w:rPr>
              <w:t>Плотность автомобильных дорог местного значения муниципального района вне границ населенных пунктов поселений в границах муниципального района, км/1000 кв. км</w:t>
            </w:r>
          </w:p>
        </w:tc>
        <w:tc>
          <w:tcPr>
            <w:tcW w:type="dxa" w:w="1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</w:tcMar>
          </w:tcPr>
          <w:p w14:paraId="82000000">
            <w:pPr>
              <w:rPr>
                <w:sz w:val="20"/>
              </w:rPr>
            </w:pPr>
            <w:r>
              <w:rPr>
                <w:sz w:val="20"/>
              </w:rPr>
              <w:t>77</w:t>
            </w:r>
          </w:p>
        </w:tc>
      </w:tr>
    </w:tbl>
    <w:p w14:paraId="83000000">
      <w:bookmarkStart w:id="6" w:name="__RefHeading___6"/>
      <w:bookmarkEnd w:id="6"/>
      <w:pPr>
        <w:pStyle w:val="Style_7"/>
        <w:numPr>
          <w:ilvl w:val="2"/>
          <w:numId w:val="1"/>
        </w:numPr>
        <w:tabs>
          <w:tab w:leader="none" w:pos="567" w:val="left"/>
        </w:tabs>
        <w:ind w:firstLine="709" w:left="0"/>
        <w:jc w:val="both"/>
        <w:rPr>
          <w:spacing w:val="-4"/>
          <w:sz w:val="24"/>
        </w:rPr>
      </w:pPr>
      <w:r>
        <w:rPr>
          <w:spacing w:val="-4"/>
          <w:sz w:val="24"/>
        </w:rPr>
        <w:t>В области электро-, тепло-, газо- и водоснабжения населения,</w:t>
      </w:r>
      <w:r>
        <w:rPr>
          <w:spacing w:val="-4"/>
          <w:sz w:val="24"/>
        </w:rPr>
        <w:t xml:space="preserve"> </w:t>
      </w:r>
      <w:r>
        <w:rPr>
          <w:spacing w:val="-4"/>
          <w:sz w:val="24"/>
        </w:rPr>
        <w:t>водоотведения</w:t>
      </w:r>
    </w:p>
    <w:p w14:paraId="84000000">
      <w:pPr>
        <w:pStyle w:val="Style_10"/>
        <w:spacing w:after="0" w:before="0"/>
        <w:ind/>
        <w:jc w:val="both"/>
        <w:rPr>
          <w:sz w:val="20"/>
        </w:rPr>
      </w:pPr>
      <w:r>
        <w:rPr>
          <w:sz w:val="20"/>
        </w:rPr>
        <w:t xml:space="preserve">Таблица </w:t>
      </w:r>
      <w:r>
        <w:rPr>
          <w:sz w:val="20"/>
        </w:rPr>
        <w:t>2</w:t>
      </w:r>
      <w:r>
        <w:rPr>
          <w:sz w:val="20"/>
        </w:rPr>
        <w:t xml:space="preserve"> – </w:t>
      </w:r>
      <w:r>
        <w:rPr>
          <w:sz w:val="20"/>
        </w:rPr>
        <w:t>Р</w:t>
      </w:r>
      <w:r>
        <w:rPr>
          <w:sz w:val="20"/>
        </w:rPr>
        <w:t>асчетны</w:t>
      </w:r>
      <w:r>
        <w:rPr>
          <w:sz w:val="20"/>
        </w:rPr>
        <w:t>е</w:t>
      </w:r>
      <w:r>
        <w:rPr>
          <w:sz w:val="20"/>
        </w:rPr>
        <w:t xml:space="preserve"> показател</w:t>
      </w:r>
      <w:r>
        <w:rPr>
          <w:sz w:val="20"/>
        </w:rPr>
        <w:t>и</w:t>
      </w:r>
      <w:r>
        <w:rPr>
          <w:sz w:val="20"/>
        </w:rPr>
        <w:t xml:space="preserve"> для объектов местного значения муниципального района</w:t>
      </w:r>
      <w:r>
        <w:rPr>
          <w:sz w:val="20"/>
        </w:rPr>
        <w:t xml:space="preserve"> в области электро-, тепло-, газо- и водоснабжения населения, водоотведения</w:t>
      </w:r>
    </w:p>
    <w:tbl>
      <w:tblPr>
        <w:tblStyle w:val="Style_11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3879"/>
        <w:gridCol w:w="2492"/>
        <w:gridCol w:w="1249"/>
        <w:gridCol w:w="1524"/>
      </w:tblGrid>
      <w:tr>
        <w:trPr>
          <w:tblHeader/>
        </w:trPr>
        <w:tc>
          <w:tcPr>
            <w:tcW w:type="dxa" w:w="38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  <w:vAlign w:val="center"/>
          </w:tcPr>
          <w:p w14:paraId="85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Наименование вида объекта</w:t>
            </w:r>
          </w:p>
        </w:tc>
        <w:tc>
          <w:tcPr>
            <w:tcW w:type="dxa" w:w="24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  <w:vAlign w:val="center"/>
          </w:tcPr>
          <w:p w14:paraId="86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Наименование нормируемого расчетного показателя, единица измерения</w:t>
            </w:r>
          </w:p>
        </w:tc>
        <w:tc>
          <w:tcPr>
            <w:tcW w:type="dxa" w:w="277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  <w:vAlign w:val="center"/>
          </w:tcPr>
          <w:p w14:paraId="87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Значение расчетного показателя</w:t>
            </w:r>
          </w:p>
        </w:tc>
      </w:tr>
      <w:tr>
        <w:tc>
          <w:tcPr>
            <w:tcW w:type="dxa" w:w="38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88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Электростанции (в том числе солнечные, ветровые и иные электростанции на основе нетрадиционных возобновляемых источников энергии) мощностью менее 5 МВт.</w:t>
            </w:r>
          </w:p>
          <w:p w14:paraId="89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Понизительные подстанции, переключательные пункты номинальным напряжением до 35 кВ включительно.</w:t>
            </w:r>
          </w:p>
          <w:p w14:paraId="8A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Трансформаторные подстанции, распределительные пункты номинальным напряжением от 10(6) до 20 кВ включительно.</w:t>
            </w:r>
          </w:p>
          <w:p w14:paraId="8B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Линии электропередачи напряжением </w:t>
            </w:r>
            <w:r>
              <w:rPr>
                <w:rFonts w:ascii="Times New Roman" w:hAnsi="Times New Roman"/>
              </w:rPr>
              <w:t xml:space="preserve">от </w:t>
            </w:r>
            <w:r>
              <w:rPr>
                <w:rFonts w:ascii="Times New Roman" w:hAnsi="Times New Roman"/>
              </w:rPr>
              <w:t xml:space="preserve">10(6) </w:t>
            </w:r>
            <w:r>
              <w:rPr>
                <w:rFonts w:ascii="Times New Roman" w:hAnsi="Times New Roman"/>
              </w:rPr>
              <w:t xml:space="preserve">до 35 </w:t>
            </w:r>
            <w:r>
              <w:rPr>
                <w:rFonts w:ascii="Times New Roman" w:hAnsi="Times New Roman"/>
              </w:rPr>
              <w:t>кВ</w:t>
            </w:r>
            <w:r>
              <w:rPr>
                <w:rFonts w:ascii="Times New Roman" w:hAnsi="Times New Roman"/>
              </w:rPr>
              <w:t>включительно</w:t>
            </w:r>
          </w:p>
        </w:tc>
        <w:tc>
          <w:tcPr>
            <w:tcW w:type="dxa" w:w="24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8C000000">
            <w:pPr>
              <w:spacing w:before="20"/>
              <w:ind/>
              <w:rPr>
                <w:sz w:val="20"/>
              </w:rPr>
            </w:pPr>
            <w:r>
              <w:rPr>
                <w:sz w:val="20"/>
              </w:rPr>
              <w:t>Удельная расчетная коммунально-бытовая электрическая нагрузка</w:t>
            </w:r>
            <w:r>
              <w:rPr>
                <w:sz w:val="20"/>
              </w:rPr>
              <w:t xml:space="preserve">, </w:t>
            </w:r>
          </w:p>
          <w:p w14:paraId="8D000000">
            <w:pPr>
              <w:spacing w:before="20"/>
              <w:ind/>
              <w:rPr>
                <w:b w:val="1"/>
                <w:sz w:val="20"/>
              </w:rPr>
            </w:pPr>
            <w:r>
              <w:rPr>
                <w:sz w:val="20"/>
              </w:rPr>
              <w:t>кВт</w:t>
            </w:r>
            <w:r>
              <w:rPr>
                <w:sz w:val="20"/>
              </w:rPr>
              <w:t xml:space="preserve"> на 1 </w:t>
            </w:r>
            <w:r>
              <w:rPr>
                <w:sz w:val="20"/>
              </w:rPr>
              <w:t>человек</w:t>
            </w:r>
            <w:r>
              <w:rPr>
                <w:sz w:val="20"/>
              </w:rPr>
              <w:t>а</w:t>
            </w:r>
            <w:r>
              <w:rPr>
                <w:sz w:val="20"/>
              </w:rPr>
              <w:t>[</w:t>
            </w:r>
            <w:r>
              <w:rPr>
                <w:sz w:val="20"/>
              </w:rPr>
              <w:t>1</w:t>
            </w:r>
            <w:r>
              <w:rPr>
                <w:sz w:val="20"/>
              </w:rPr>
              <w:t>]</w:t>
            </w:r>
          </w:p>
        </w:tc>
        <w:tc>
          <w:tcPr>
            <w:tcW w:type="dxa" w:w="277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8E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 стационарных электроплит – 0,41</w:t>
            </w:r>
            <w:r>
              <w:rPr>
                <w:rFonts w:ascii="Times New Roman" w:hAnsi="Times New Roman"/>
              </w:rPr>
              <w:t>.</w:t>
            </w:r>
          </w:p>
          <w:p w14:paraId="8F000000">
            <w:pPr>
              <w:spacing w:before="20"/>
              <w:ind/>
              <w:rPr>
                <w:sz w:val="20"/>
              </w:rPr>
            </w:pPr>
            <w:r>
              <w:rPr>
                <w:sz w:val="20"/>
              </w:rPr>
              <w:t xml:space="preserve">Со стационарными электроплитами – </w:t>
            </w:r>
            <w:r>
              <w:rPr>
                <w:sz w:val="20"/>
              </w:rPr>
              <w:t>0,5</w:t>
            </w:r>
          </w:p>
        </w:tc>
      </w:tr>
      <w:tr>
        <w:tc>
          <w:tcPr>
            <w:tcW w:type="dxa" w:w="387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0000000">
            <w:pPr>
              <w:rPr>
                <w:sz w:val="20"/>
              </w:rPr>
            </w:pPr>
            <w:r>
              <w:rPr>
                <w:sz w:val="20"/>
              </w:rPr>
              <w:t>Котельные.</w:t>
            </w:r>
          </w:p>
          <w:p w14:paraId="91000000">
            <w:pPr>
              <w:rPr>
                <w:sz w:val="20"/>
              </w:rPr>
            </w:pPr>
            <w:r>
              <w:rPr>
                <w:sz w:val="20"/>
              </w:rPr>
              <w:t>Центральные тепловые пункты.</w:t>
            </w:r>
          </w:p>
          <w:p w14:paraId="92000000">
            <w:pPr>
              <w:rPr>
                <w:sz w:val="20"/>
              </w:rPr>
            </w:pPr>
            <w:r>
              <w:rPr>
                <w:sz w:val="20"/>
              </w:rPr>
              <w:t>Тепловые перекачивающие насосные станции.</w:t>
            </w:r>
          </w:p>
          <w:p w14:paraId="93000000">
            <w:pPr>
              <w:rPr>
                <w:sz w:val="20"/>
              </w:rPr>
            </w:pPr>
            <w:r>
              <w:rPr>
                <w:sz w:val="20"/>
              </w:rPr>
              <w:t>Сети теплоснабжения</w:t>
            </w:r>
          </w:p>
        </w:tc>
        <w:tc>
          <w:tcPr>
            <w:tcW w:type="dxa" w:w="24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4000000">
            <w:pPr>
              <w:spacing w:before="20"/>
              <w:ind/>
              <w:rPr>
                <w:sz w:val="20"/>
              </w:rPr>
            </w:pPr>
            <w:r>
              <w:rPr>
                <w:sz w:val="20"/>
              </w:rPr>
              <w:t xml:space="preserve">Удельный расход тепла на отопление </w:t>
            </w:r>
            <w:r>
              <w:rPr>
                <w:sz w:val="20"/>
              </w:rPr>
              <w:t xml:space="preserve">и горячее </w:t>
            </w:r>
            <w:r>
              <w:rPr>
                <w:sz w:val="20"/>
              </w:rPr>
              <w:t xml:space="preserve">водоснабжение </w:t>
            </w:r>
            <w:r>
              <w:rPr>
                <w:sz w:val="20"/>
              </w:rPr>
              <w:t xml:space="preserve">жилых зданий, </w:t>
            </w:r>
          </w:p>
          <w:p w14:paraId="95000000">
            <w:pPr>
              <w:spacing w:before="20"/>
              <w:ind/>
              <w:rPr>
                <w:sz w:val="20"/>
              </w:rPr>
            </w:pPr>
            <w:r>
              <w:rPr>
                <w:sz w:val="20"/>
              </w:rPr>
              <w:t>ккал/ч на 1 кв.м общей площади здания</w:t>
            </w:r>
          </w:p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6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Застройка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7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Значение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]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8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этаж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9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80,19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A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 этажа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B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68,97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C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 этажа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D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63,31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E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 этажа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9F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61,55</w:t>
            </w:r>
          </w:p>
        </w:tc>
      </w:tr>
      <w:tr>
        <w:trPr>
          <w:trHeight w:hRule="atLeast" w:val="143"/>
        </w:trP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0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>9 этажей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1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58,16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2000000">
            <w:pPr>
              <w:spacing w:before="20"/>
              <w:ind/>
              <w:rPr>
                <w:sz w:val="20"/>
              </w:rPr>
            </w:pPr>
            <w:r>
              <w:rPr>
                <w:sz w:val="20"/>
              </w:rPr>
              <w:t>Удельный расход тепла на отопление</w:t>
            </w:r>
            <w:r>
              <w:rPr>
                <w:sz w:val="20"/>
              </w:rPr>
              <w:t>, вентиляцию и горячее водоснабжение</w:t>
            </w:r>
            <w:r>
              <w:rPr>
                <w:sz w:val="20"/>
              </w:rPr>
              <w:t xml:space="preserve"> административных и общественных зданий, </w:t>
            </w:r>
          </w:p>
          <w:p w14:paraId="A3000000">
            <w:pPr>
              <w:spacing w:before="20"/>
              <w:ind/>
              <w:rPr>
                <w:b w:val="1"/>
                <w:sz w:val="20"/>
              </w:rPr>
            </w:pPr>
            <w:r>
              <w:rPr>
                <w:sz w:val="20"/>
              </w:rPr>
              <w:t>ккал/ч на 1 кв.м общей площади здания</w:t>
            </w:r>
          </w:p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4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Застройка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5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Значение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]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6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этаж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7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119,17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8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 этажа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9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115,43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A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 этажа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B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113,48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12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C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>5 этажей</w:t>
            </w:r>
          </w:p>
        </w:tc>
        <w:tc>
          <w:tcPr>
            <w:tcW w:type="dxa" w:w="15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D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102,26</w:t>
            </w:r>
          </w:p>
        </w:tc>
      </w:tr>
      <w:tr>
        <w:tc>
          <w:tcPr>
            <w:tcW w:type="dxa" w:w="387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AE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Пункты редуцирования газа.</w:t>
            </w:r>
          </w:p>
          <w:p w14:paraId="AF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Резервуарные установки сжиженных углеводородных газов.</w:t>
            </w:r>
          </w:p>
          <w:p w14:paraId="B0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Газонаполнительные станции, газонаполнительные пункты.</w:t>
            </w:r>
          </w:p>
          <w:p w14:paraId="B1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Межпоселковые газораспределительные сети.</w:t>
            </w:r>
          </w:p>
          <w:p w14:paraId="B2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Газораспределительные сети</w:t>
            </w:r>
          </w:p>
        </w:tc>
        <w:tc>
          <w:tcPr>
            <w:tcW w:type="dxa" w:w="24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B3000000">
            <w:pPr>
              <w:rPr>
                <w:sz w:val="20"/>
              </w:rPr>
            </w:pPr>
            <w:r>
              <w:rPr>
                <w:sz w:val="20"/>
              </w:rPr>
              <w:t xml:space="preserve">Удельный расход природного газа для приготовления пищи, </w:t>
            </w:r>
          </w:p>
          <w:p w14:paraId="B4000000">
            <w:pPr>
              <w:rPr>
                <w:sz w:val="20"/>
              </w:rPr>
            </w:pPr>
            <w:r>
              <w:rPr>
                <w:sz w:val="20"/>
              </w:rPr>
              <w:t>куб.</w:t>
            </w:r>
            <w:r>
              <w:rPr>
                <w:sz w:val="20"/>
              </w:rPr>
              <w:t xml:space="preserve"> м/ч на </w:t>
            </w:r>
            <w:r>
              <w:rPr>
                <w:sz w:val="20"/>
              </w:rPr>
              <w:t xml:space="preserve">1 </w:t>
            </w:r>
            <w:r>
              <w:rPr>
                <w:sz w:val="20"/>
              </w:rPr>
              <w:t>человека</w:t>
            </w:r>
          </w:p>
        </w:tc>
        <w:tc>
          <w:tcPr>
            <w:tcW w:type="dxa" w:w="277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B500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0,06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B6000000">
            <w:pPr>
              <w:rPr>
                <w:sz w:val="20"/>
              </w:rPr>
            </w:pPr>
            <w:r>
              <w:rPr>
                <w:sz w:val="20"/>
              </w:rPr>
              <w:t xml:space="preserve">Удельный расход природного газа для отопления, вентиляции и горячего водоснабжения, </w:t>
            </w:r>
          </w:p>
          <w:p w14:paraId="B7000000">
            <w:pPr>
              <w:rPr>
                <w:sz w:val="20"/>
              </w:rPr>
            </w:pPr>
            <w:r>
              <w:rPr>
                <w:sz w:val="20"/>
              </w:rPr>
              <w:t xml:space="preserve">куб.м/ч на </w:t>
            </w:r>
            <w:r>
              <w:rPr>
                <w:sz w:val="20"/>
              </w:rPr>
              <w:t xml:space="preserve">1 </w:t>
            </w:r>
            <w:r>
              <w:rPr>
                <w:sz w:val="20"/>
              </w:rPr>
              <w:t>чел</w:t>
            </w:r>
            <w:r>
              <w:rPr>
                <w:sz w:val="20"/>
              </w:rPr>
              <w:t>овека</w:t>
            </w:r>
            <w:r>
              <w:rPr>
                <w:sz w:val="20"/>
              </w:rPr>
              <w:t>[</w:t>
            </w:r>
            <w:r>
              <w:rPr>
                <w:sz w:val="20"/>
              </w:rPr>
              <w:t>1</w:t>
            </w:r>
            <w:r>
              <w:rPr>
                <w:sz w:val="20"/>
              </w:rPr>
              <w:t>]</w:t>
            </w:r>
          </w:p>
        </w:tc>
        <w:tc>
          <w:tcPr>
            <w:tcW w:type="dxa" w:w="277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B800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0,3</w:t>
            </w:r>
          </w:p>
        </w:tc>
      </w:tr>
      <w:tr>
        <w:tc>
          <w:tcPr>
            <w:tcW w:type="dxa" w:w="387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/>
        </w:tc>
        <w:tc>
          <w:tcPr>
            <w:tcW w:type="dxa" w:w="24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B9000000">
            <w:pPr>
              <w:rPr>
                <w:sz w:val="20"/>
              </w:rPr>
            </w:pPr>
            <w:r>
              <w:rPr>
                <w:sz w:val="20"/>
              </w:rPr>
              <w:t xml:space="preserve">Удельный расход сжиженного углеводородного газа для приготовления пищи, </w:t>
            </w:r>
          </w:p>
          <w:p w14:paraId="BA000000">
            <w:pPr>
              <w:rPr>
                <w:sz w:val="20"/>
              </w:rPr>
            </w:pPr>
            <w:r>
              <w:rPr>
                <w:sz w:val="20"/>
              </w:rPr>
              <w:t>кг на человека в год</w:t>
            </w:r>
          </w:p>
        </w:tc>
        <w:tc>
          <w:tcPr>
            <w:tcW w:type="dxa" w:w="277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BB000000">
            <w:pPr>
              <w:rPr>
                <w:sz w:val="20"/>
              </w:rPr>
            </w:pPr>
            <w:r>
              <w:rPr>
                <w:sz w:val="20"/>
              </w:rPr>
              <w:t>85</w:t>
            </w:r>
          </w:p>
        </w:tc>
      </w:tr>
      <w:tr>
        <w:tc>
          <w:tcPr>
            <w:tcW w:type="dxa" w:w="38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BC000000">
            <w:pPr>
              <w:rPr>
                <w:sz w:val="20"/>
              </w:rPr>
            </w:pPr>
            <w:r>
              <w:rPr>
                <w:sz w:val="20"/>
              </w:rPr>
              <w:t>Водозаборы</w:t>
            </w:r>
            <w:r>
              <w:rPr>
                <w:sz w:val="20"/>
              </w:rPr>
              <w:t>, станции</w:t>
            </w:r>
            <w:r>
              <w:rPr>
                <w:sz w:val="20"/>
              </w:rPr>
              <w:t xml:space="preserve"> водоподготовки (водопроводные очистные сооружения).</w:t>
            </w:r>
          </w:p>
          <w:p w14:paraId="BD000000">
            <w:pPr>
              <w:rPr>
                <w:sz w:val="20"/>
              </w:rPr>
            </w:pPr>
            <w:r>
              <w:rPr>
                <w:sz w:val="20"/>
              </w:rPr>
              <w:t>Насосные станции.</w:t>
            </w:r>
          </w:p>
          <w:p w14:paraId="BE000000">
            <w:pPr>
              <w:rPr>
                <w:sz w:val="20"/>
              </w:rPr>
            </w:pPr>
            <w:r>
              <w:rPr>
                <w:sz w:val="20"/>
              </w:rPr>
              <w:t>Резервуары для хранения воды.</w:t>
            </w:r>
          </w:p>
          <w:p w14:paraId="BF000000">
            <w:pPr>
              <w:rPr>
                <w:sz w:val="20"/>
              </w:rPr>
            </w:pPr>
            <w:r>
              <w:rPr>
                <w:sz w:val="20"/>
              </w:rPr>
              <w:t>Водонапорные башни.</w:t>
            </w:r>
          </w:p>
          <w:p w14:paraId="C0000000">
            <w:pPr>
              <w:rPr>
                <w:sz w:val="20"/>
              </w:rPr>
            </w:pPr>
            <w:r>
              <w:rPr>
                <w:sz w:val="20"/>
              </w:rPr>
              <w:t>Водопроводы</w:t>
            </w:r>
          </w:p>
        </w:tc>
        <w:tc>
          <w:tcPr>
            <w:tcW w:type="dxa" w:w="24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C1000000">
            <w:pPr>
              <w:rPr>
                <w:sz w:val="20"/>
              </w:rPr>
            </w:pPr>
            <w:r>
              <w:rPr>
                <w:sz w:val="20"/>
              </w:rPr>
              <w:t xml:space="preserve">Удельное среднесуточное водопотребление (за год), </w:t>
            </w:r>
          </w:p>
          <w:p w14:paraId="C2000000">
            <w:pPr>
              <w:rPr>
                <w:b w:val="1"/>
                <w:sz w:val="20"/>
              </w:rPr>
            </w:pPr>
            <w:r>
              <w:rPr>
                <w:sz w:val="20"/>
              </w:rPr>
              <w:t>л/сут</w:t>
            </w:r>
            <w:r>
              <w:rPr>
                <w:sz w:val="20"/>
              </w:rPr>
              <w:t>.</w:t>
            </w:r>
            <w:r>
              <w:rPr>
                <w:sz w:val="20"/>
              </w:rPr>
              <w:t xml:space="preserve"> на </w:t>
            </w:r>
            <w:r>
              <w:rPr>
                <w:sz w:val="20"/>
              </w:rPr>
              <w:t xml:space="preserve">1 </w:t>
            </w:r>
            <w:r>
              <w:rPr>
                <w:sz w:val="20"/>
              </w:rPr>
              <w:t>человека</w:t>
            </w:r>
            <w:r>
              <w:rPr>
                <w:sz w:val="20"/>
              </w:rPr>
              <w:t>[</w:t>
            </w:r>
            <w:r>
              <w:rPr>
                <w:sz w:val="20"/>
              </w:rPr>
              <w:t>1</w:t>
            </w:r>
            <w:r>
              <w:rPr>
                <w:sz w:val="20"/>
              </w:rPr>
              <w:t>]</w:t>
            </w:r>
          </w:p>
        </w:tc>
        <w:tc>
          <w:tcPr>
            <w:tcW w:type="dxa" w:w="277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C3000000">
            <w:pPr>
              <w:rPr>
                <w:sz w:val="20"/>
              </w:rPr>
            </w:pPr>
            <w:r>
              <w:rPr>
                <w:sz w:val="20"/>
              </w:rPr>
              <w:t xml:space="preserve">Здания, оборудованные внутренним водопроводом и канализацией, без ванн </w:t>
            </w:r>
            <w:r>
              <w:rPr>
                <w:sz w:val="20"/>
              </w:rPr>
              <w:t>–</w:t>
            </w:r>
            <w:r>
              <w:rPr>
                <w:sz w:val="20"/>
              </w:rPr>
              <w:t xml:space="preserve"> 130</w:t>
            </w:r>
            <w:r>
              <w:rPr>
                <w:sz w:val="20"/>
              </w:rPr>
              <w:t>.</w:t>
            </w:r>
          </w:p>
          <w:p w14:paraId="C4000000">
            <w:pPr>
              <w:rPr>
                <w:sz w:val="20"/>
              </w:rPr>
            </w:pPr>
            <w:r>
              <w:rPr>
                <w:sz w:val="20"/>
              </w:rPr>
              <w:t>Здания, оборудованные внутренним водопроводом и канализацией, с централизованным горячим водоснабжением или с местными водонагревателями – 220</w:t>
            </w:r>
          </w:p>
        </w:tc>
      </w:tr>
      <w:tr>
        <w:tc>
          <w:tcPr>
            <w:tcW w:type="dxa" w:w="38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C5000000">
            <w:pPr>
              <w:rPr>
                <w:sz w:val="20"/>
              </w:rPr>
            </w:pPr>
            <w:r>
              <w:rPr>
                <w:sz w:val="20"/>
              </w:rPr>
              <w:t>Канализационные очистные сооружения, иловые площадки, биологические пруды глубокой очистки сточных вод.</w:t>
            </w:r>
          </w:p>
          <w:p w14:paraId="C6000000">
            <w:pPr>
              <w:rPr>
                <w:sz w:val="20"/>
              </w:rPr>
            </w:pPr>
            <w:r>
              <w:rPr>
                <w:sz w:val="20"/>
              </w:rPr>
              <w:t>Канализационные насосные станции.</w:t>
            </w:r>
          </w:p>
          <w:p w14:paraId="C7000000">
            <w:pPr>
              <w:rPr>
                <w:sz w:val="20"/>
              </w:rPr>
            </w:pPr>
            <w:r>
              <w:rPr>
                <w:sz w:val="20"/>
              </w:rPr>
              <w:t>Сети кан</w:t>
            </w:r>
            <w:r>
              <w:rPr>
                <w:sz w:val="20"/>
              </w:rPr>
              <w:t>ализации (напорной, самотечной)</w:t>
            </w:r>
          </w:p>
        </w:tc>
        <w:tc>
          <w:tcPr>
            <w:tcW w:type="dxa" w:w="24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C8000000">
            <w:pPr>
              <w:spacing w:before="20"/>
              <w:ind/>
              <w:rPr>
                <w:sz w:val="20"/>
              </w:rPr>
            </w:pPr>
            <w:r>
              <w:rPr>
                <w:sz w:val="20"/>
              </w:rPr>
              <w:t xml:space="preserve">Удельное среднесуточное водоотведение (за год), </w:t>
            </w:r>
          </w:p>
          <w:p w14:paraId="C9000000">
            <w:pPr>
              <w:spacing w:before="20"/>
              <w:ind/>
              <w:rPr>
                <w:b w:val="1"/>
                <w:sz w:val="20"/>
              </w:rPr>
            </w:pPr>
            <w:r>
              <w:rPr>
                <w:sz w:val="20"/>
              </w:rPr>
              <w:t>л/сут</w:t>
            </w:r>
            <w:r>
              <w:rPr>
                <w:sz w:val="20"/>
              </w:rPr>
              <w:t>.</w:t>
            </w:r>
            <w:r>
              <w:rPr>
                <w:sz w:val="20"/>
              </w:rPr>
              <w:t xml:space="preserve"> на </w:t>
            </w:r>
            <w:r>
              <w:rPr>
                <w:sz w:val="20"/>
              </w:rPr>
              <w:t xml:space="preserve">1 </w:t>
            </w:r>
            <w:r>
              <w:rPr>
                <w:sz w:val="20"/>
              </w:rPr>
              <w:t>человека</w:t>
            </w:r>
          </w:p>
        </w:tc>
        <w:tc>
          <w:tcPr>
            <w:tcW w:type="dxa" w:w="277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CA000000">
            <w:pPr>
              <w:spacing w:before="20"/>
              <w:ind/>
              <w:rPr>
                <w:sz w:val="20"/>
              </w:rPr>
            </w:pPr>
            <w:r>
              <w:rPr>
                <w:sz w:val="20"/>
              </w:rPr>
              <w:t>Принимается равной удельному среднесуточному водопотреблению</w:t>
            </w:r>
          </w:p>
        </w:tc>
      </w:tr>
      <w:tr>
        <w:tc>
          <w:tcPr>
            <w:tcW w:type="dxa" w:w="9144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bottom w:type="dxa" w:w="28"/>
            </w:tcMar>
          </w:tcPr>
          <w:p w14:paraId="CB000000">
            <w:pPr>
              <w:pStyle w:val="Style_12"/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Примечания:</w:t>
            </w:r>
          </w:p>
          <w:p w14:paraId="CC00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1. Ра</w:t>
            </w:r>
            <w:r>
              <w:rPr>
                <w:sz w:val="20"/>
              </w:rPr>
              <w:t>счетный показатель учитывает нагрузку жилых и общественных зданий, коммунально-бытовых объектов (за исключением промышленности).</w:t>
            </w:r>
          </w:p>
          <w:p w14:paraId="CD000000">
            <w:pPr>
              <w:spacing w:before="20"/>
              <w:ind/>
              <w:jc w:val="both"/>
              <w:rPr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z w:val="20"/>
              </w:rPr>
              <w:t>.</w:t>
            </w:r>
            <w:r>
              <w:rPr>
                <w:sz w:val="20"/>
              </w:rPr>
              <w:t xml:space="preserve"> Значения удельного расхода тепла на отопление для населенных пунктов следует принимать равными значениям параметров ближайшего к нему насел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нного пункта, приведенного в таблице.</w:t>
            </w:r>
          </w:p>
        </w:tc>
      </w:tr>
    </w:tbl>
    <w:p w14:paraId="CE000000">
      <w:bookmarkStart w:id="7" w:name="__RefHeading___7"/>
      <w:bookmarkEnd w:id="7"/>
      <w:pPr>
        <w:pStyle w:val="Style_7"/>
        <w:spacing w:before="120"/>
        <w:ind/>
        <w:jc w:val="both"/>
        <w:rPr>
          <w:sz w:val="24"/>
        </w:rPr>
      </w:pPr>
      <w:r>
        <w:rPr>
          <w:sz w:val="24"/>
        </w:rPr>
        <w:t>1</w:t>
      </w:r>
      <w:r>
        <w:rPr>
          <w:sz w:val="24"/>
        </w:rPr>
        <w:t>.</w:t>
      </w:r>
      <w:r>
        <w:rPr>
          <w:sz w:val="24"/>
        </w:rPr>
        <w:t>3</w:t>
      </w:r>
      <w:r>
        <w:rPr>
          <w:sz w:val="24"/>
        </w:rPr>
        <w:t xml:space="preserve">.3 В области </w:t>
      </w:r>
      <w:r>
        <w:rPr>
          <w:sz w:val="24"/>
        </w:rPr>
        <w:t>образования</w:t>
      </w:r>
    </w:p>
    <w:p w14:paraId="CF000000">
      <w:pPr>
        <w:pStyle w:val="Style_10"/>
        <w:spacing w:after="0" w:before="0"/>
        <w:ind/>
        <w:jc w:val="both"/>
        <w:rPr>
          <w:sz w:val="20"/>
        </w:rPr>
      </w:pPr>
      <w:r>
        <w:rPr>
          <w:sz w:val="20"/>
        </w:rPr>
        <w:t xml:space="preserve">Таблица </w:t>
      </w:r>
      <w:r>
        <w:rPr>
          <w:sz w:val="20"/>
        </w:rPr>
        <w:t>3</w:t>
      </w:r>
      <w:r>
        <w:rPr>
          <w:sz w:val="20"/>
        </w:rPr>
        <w:t xml:space="preserve"> – Расчетные показатели для объектов местного значения муниципального района в области образования </w:t>
      </w:r>
    </w:p>
    <w:tbl>
      <w:tblPr>
        <w:tblStyle w:val="Style_11"/>
        <w:tblInd w:type="dxa" w:w="85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2090"/>
        <w:gridCol w:w="2231"/>
        <w:gridCol w:w="2625"/>
        <w:gridCol w:w="838"/>
        <w:gridCol w:w="1404"/>
      </w:tblGrid>
      <w:tr>
        <w:trPr>
          <w:trHeight w:hRule="atLeast" w:val="329"/>
          <w:tblHeader/>
        </w:trPr>
        <w:tc>
          <w:tcPr>
            <w:tcW w:type="dxa" w:w="20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  <w:vAlign w:val="center"/>
          </w:tcPr>
          <w:p w14:paraId="D0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Наименование</w:t>
            </w:r>
          </w:p>
          <w:p w14:paraId="D1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вида объекта</w:t>
            </w:r>
          </w:p>
        </w:tc>
        <w:tc>
          <w:tcPr>
            <w:tcW w:type="dxa" w:w="22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  <w:vAlign w:val="center"/>
          </w:tcPr>
          <w:p w14:paraId="D2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Наименование нормируемого расчетного показателя,</w:t>
            </w:r>
          </w:p>
          <w:p w14:paraId="D3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единица измерения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  <w:vAlign w:val="center"/>
          </w:tcPr>
          <w:p w14:paraId="D400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Значение расчетного показателя</w:t>
            </w:r>
          </w:p>
        </w:tc>
      </w:tr>
      <w:tr>
        <w:trPr>
          <w:trHeight w:hRule="atLeast" w:val="316"/>
        </w:trPr>
        <w:tc>
          <w:tcPr>
            <w:tcW w:type="dxa" w:w="209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5000000">
            <w:pPr>
              <w:rPr>
                <w:sz w:val="20"/>
              </w:rPr>
            </w:pPr>
            <w:r>
              <w:rPr>
                <w:sz w:val="20"/>
              </w:rPr>
              <w:t xml:space="preserve">Дошкольные образовательные организации </w:t>
            </w:r>
          </w:p>
        </w:tc>
        <w:tc>
          <w:tcPr>
            <w:tcW w:type="dxa" w:w="223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6000000">
            <w:pPr>
              <w:rPr>
                <w:sz w:val="20"/>
              </w:rPr>
            </w:pPr>
            <w:r>
              <w:rPr>
                <w:sz w:val="20"/>
              </w:rPr>
              <w:t xml:space="preserve">Уровень обеспеченности, </w:t>
            </w:r>
          </w:p>
          <w:p w14:paraId="D7000000">
            <w:pPr>
              <w:rPr>
                <w:sz w:val="20"/>
                <w:highlight w:val="yellow"/>
              </w:rPr>
            </w:pPr>
            <w:r>
              <w:rPr>
                <w:sz w:val="20"/>
              </w:rPr>
              <w:t>мест на 1 тыс. человек общей численности населения</w:t>
            </w:r>
            <w:r>
              <w:rPr>
                <w:sz w:val="20"/>
              </w:rPr>
              <w:t xml:space="preserve"> [1, 2]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8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численности населения, человек [12, 14]</w:t>
            </w:r>
          </w:p>
        </w:tc>
      </w:tr>
      <w:tr>
        <w:trPr>
          <w:trHeight w:hRule="atLeast" w:val="243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9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500–1000 </w:t>
            </w:r>
          </w:p>
        </w:tc>
        <w:tc>
          <w:tcPr>
            <w:tcW w:type="dxa" w:w="224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A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</w:tr>
      <w:tr>
        <w:trPr>
          <w:trHeight w:hRule="atLeast" w:val="262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B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1000–2000 </w:t>
            </w:r>
          </w:p>
        </w:tc>
        <w:tc>
          <w:tcPr>
            <w:tcW w:type="dxa" w:w="224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C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</w:tr>
      <w:tr>
        <w:trPr>
          <w:trHeight w:hRule="atLeast" w:val="188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D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2000–5000 </w:t>
            </w:r>
          </w:p>
        </w:tc>
        <w:tc>
          <w:tcPr>
            <w:tcW w:type="dxa" w:w="224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E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</w:tr>
      <w:tr>
        <w:trPr>
          <w:trHeight w:hRule="atLeast" w:val="60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DF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более 20000</w:t>
            </w:r>
          </w:p>
        </w:tc>
        <w:tc>
          <w:tcPr>
            <w:tcW w:type="dxa" w:w="224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E0000000">
            <w:r>
              <w:rPr>
                <w:sz w:val="20"/>
              </w:rPr>
              <w:t>60</w:t>
            </w:r>
          </w:p>
        </w:tc>
      </w:tr>
      <w:tr>
        <w:trPr>
          <w:trHeight w:hRule="atLeast" w:val="20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E1000000">
            <w:pPr>
              <w:rPr>
                <w:sz w:val="20"/>
              </w:rPr>
            </w:pPr>
            <w:r>
              <w:rPr>
                <w:sz w:val="20"/>
              </w:rPr>
              <w:t xml:space="preserve">Размер земельного участка, </w:t>
            </w:r>
          </w:p>
          <w:p w14:paraId="E2000000">
            <w:pPr>
              <w:rPr>
                <w:sz w:val="20"/>
              </w:rPr>
            </w:pPr>
            <w:r>
              <w:rPr>
                <w:sz w:val="20"/>
              </w:rPr>
              <w:t>кв. м на 1 место [3]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E3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отдельно стоящих дошкольных образовательных организаций вместимостью:</w:t>
            </w:r>
          </w:p>
          <w:p w14:paraId="E4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100 мест – 40;</w:t>
            </w:r>
          </w:p>
          <w:p w14:paraId="E5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 101 места – 35;</w:t>
            </w:r>
          </w:p>
          <w:p w14:paraId="E6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комплексе дошкольных образовательных организаций свыше 500 мест – 30.</w:t>
            </w:r>
          </w:p>
          <w:p w14:paraId="E7000000">
            <w:pPr>
              <w:rPr>
                <w:sz w:val="20"/>
              </w:rPr>
            </w:pPr>
            <w:r>
              <w:rPr>
                <w:sz w:val="20"/>
              </w:rPr>
              <w:t>Для встроенных и встроенно-пристроенных дошкольных обра</w:t>
            </w:r>
            <w:r>
              <w:rPr>
                <w:sz w:val="20"/>
              </w:rPr>
              <w:t>зовательных организаций – 9</w:t>
            </w:r>
          </w:p>
        </w:tc>
      </w:tr>
      <w:tr>
        <w:trPr>
          <w:trHeight w:hRule="atLeast" w:val="1601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E8000000">
            <w:pPr>
              <w:rPr>
                <w:sz w:val="20"/>
              </w:rPr>
            </w:pPr>
            <w:r>
              <w:rPr>
                <w:sz w:val="20"/>
              </w:rPr>
              <w:t>Территориальная доступность, мин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  <w:vAlign w:val="center"/>
          </w:tcPr>
          <w:p w14:paraId="E9000000">
            <w:pPr>
              <w:rPr>
                <w:sz w:val="20"/>
              </w:rPr>
            </w:pPr>
            <w:r>
              <w:rPr>
                <w:sz w:val="20"/>
              </w:rPr>
              <w:t>Для населенных пунктов с численностью населения до 3000 человек транспортная доступность – 30.</w:t>
            </w:r>
          </w:p>
          <w:p w14:paraId="EA000000">
            <w:pPr>
              <w:rPr>
                <w:sz w:val="20"/>
              </w:rPr>
            </w:pPr>
            <w:r>
              <w:rPr>
                <w:sz w:val="20"/>
              </w:rPr>
              <w:t>Для населенных пунктов с численностью населения от 3000 человек в зависимости от вида жилой застройки:</w:t>
            </w:r>
          </w:p>
          <w:p w14:paraId="EB000000">
            <w:pPr>
              <w:rPr>
                <w:sz w:val="20"/>
              </w:rPr>
            </w:pPr>
            <w:r>
              <w:rPr>
                <w:sz w:val="20"/>
              </w:rPr>
              <w:t>для многоквартирной жилой застройки пешеходная доступность – 10;</w:t>
            </w:r>
          </w:p>
          <w:p w14:paraId="EC000000">
            <w:r>
              <w:rPr>
                <w:sz w:val="20"/>
              </w:rPr>
              <w:t>для индивидуальной жилой застройки</w:t>
            </w:r>
            <w:r>
              <w:rPr>
                <w:sz w:val="20"/>
              </w:rPr>
              <w:t xml:space="preserve"> транспортная доступность – 10</w:t>
            </w:r>
          </w:p>
        </w:tc>
      </w:tr>
      <w:tr>
        <w:tc>
          <w:tcPr>
            <w:tcW w:type="dxa" w:w="209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ED000000">
            <w:pPr>
              <w:rPr>
                <w:sz w:val="20"/>
              </w:rPr>
            </w:pPr>
            <w:r>
              <w:rPr>
                <w:sz w:val="20"/>
              </w:rPr>
              <w:t>Общеобразовательные организации</w:t>
            </w:r>
          </w:p>
          <w:p w14:paraId="EE000000">
            <w:pPr>
              <w:rPr>
                <w:sz w:val="20"/>
              </w:rPr>
            </w:pPr>
          </w:p>
        </w:tc>
        <w:tc>
          <w:tcPr>
            <w:tcW w:type="dxa" w:w="223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EF00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Уровень обеспеченности, </w:t>
            </w:r>
          </w:p>
          <w:p w14:paraId="F0000000">
            <w:pPr>
              <w:rPr>
                <w:b w:val="1"/>
              </w:rPr>
            </w:pPr>
            <w:r>
              <w:rPr>
                <w:sz w:val="20"/>
              </w:rPr>
              <w:t xml:space="preserve">мест на 1 тыс. человек общей численности населения [1, </w:t>
            </w:r>
            <w:r>
              <w:rPr>
                <w:sz w:val="20"/>
              </w:rPr>
              <w:t xml:space="preserve">2, </w:t>
            </w:r>
            <w:r>
              <w:rPr>
                <w:sz w:val="20"/>
              </w:rPr>
              <w:t>4</w:t>
            </w:r>
            <w:r>
              <w:rPr>
                <w:sz w:val="20"/>
              </w:rPr>
              <w:t>]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F1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</w:t>
            </w:r>
            <w:r>
              <w:rPr>
                <w:rFonts w:ascii="Times New Roman" w:hAnsi="Times New Roman"/>
              </w:rPr>
              <w:t>сленности населения, человек [12, 1</w:t>
            </w:r>
            <w:r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>]</w:t>
            </w:r>
          </w:p>
        </w:tc>
      </w:tr>
      <w:t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00000">
            <w:pPr>
              <w:rPr>
                <w:sz w:val="20"/>
              </w:rPr>
            </w:pPr>
            <w:r>
              <w:rPr>
                <w:sz w:val="20"/>
              </w:rPr>
              <w:t>до 500</w:t>
            </w:r>
          </w:p>
        </w:tc>
        <w:tc>
          <w:tcPr>
            <w:tcW w:type="dxa" w:w="224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rPr>
                <w:sz w:val="20"/>
              </w:rPr>
            </w:pPr>
            <w:r>
              <w:rPr>
                <w:sz w:val="20"/>
              </w:rPr>
              <w:t>80</w:t>
            </w:r>
          </w:p>
        </w:tc>
      </w:tr>
      <w:t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bottom w:type="dxa" w:w="0"/>
              <w:right w:type="dxa" w:w="85"/>
            </w:tcMar>
          </w:tcPr>
          <w:p w14:paraId="F4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500–1000 </w:t>
            </w:r>
          </w:p>
        </w:tc>
        <w:tc>
          <w:tcPr>
            <w:tcW w:type="dxa" w:w="224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bottom w:type="dxa" w:w="0"/>
              <w:right w:type="dxa" w:w="85"/>
            </w:tcMar>
          </w:tcPr>
          <w:p w14:paraId="F5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F6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1000–2000 </w:t>
            </w:r>
          </w:p>
        </w:tc>
        <w:tc>
          <w:tcPr>
            <w:tcW w:type="dxa" w:w="224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F7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</w:t>
            </w:r>
          </w:p>
        </w:tc>
      </w:tr>
      <w:t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F8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2000–5000</w:t>
            </w:r>
          </w:p>
        </w:tc>
        <w:tc>
          <w:tcPr>
            <w:tcW w:type="dxa" w:w="224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F9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120</w:t>
            </w:r>
          </w:p>
        </w:tc>
      </w:tr>
      <w:tr>
        <w:trPr>
          <w:trHeight w:hRule="atLeast" w:val="60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FA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более 20000</w:t>
            </w:r>
          </w:p>
        </w:tc>
        <w:tc>
          <w:tcPr>
            <w:tcW w:type="dxa" w:w="224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FB000000">
            <w:pPr>
              <w:pStyle w:val="Style_12"/>
              <w:tabs>
                <w:tab w:leader="none" w:pos="1021" w:val="center"/>
                <w:tab w:leader="none" w:pos="2043" w:val="right"/>
              </w:tabs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130</w:t>
            </w:r>
          </w:p>
        </w:tc>
      </w:tr>
      <w:t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FC000000">
            <w:pPr>
              <w:rPr>
                <w:sz w:val="20"/>
              </w:rPr>
            </w:pPr>
            <w:r>
              <w:rPr>
                <w:sz w:val="20"/>
              </w:rPr>
              <w:t>Размер земельного участка, кв. м на 1 место [</w:t>
            </w:r>
            <w:r>
              <w:rPr>
                <w:sz w:val="20"/>
              </w:rPr>
              <w:t>5, 6, 7</w:t>
            </w:r>
            <w:r>
              <w:rPr>
                <w:sz w:val="20"/>
              </w:rPr>
              <w:t>]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FD000000">
            <w:pPr>
              <w:rPr>
                <w:sz w:val="20"/>
              </w:rPr>
            </w:pPr>
            <w:r>
              <w:rPr>
                <w:sz w:val="20"/>
              </w:rPr>
              <w:t>При вместимости общеобразовательной организации:</w:t>
            </w:r>
          </w:p>
          <w:p w14:paraId="FE000000">
            <w:pPr>
              <w:rPr>
                <w:sz w:val="20"/>
              </w:rPr>
            </w:pPr>
            <w:r>
              <w:rPr>
                <w:sz w:val="20"/>
              </w:rPr>
              <w:t>до 400 – 55;</w:t>
            </w:r>
          </w:p>
          <w:p w14:paraId="FF000000">
            <w:pPr>
              <w:rPr>
                <w:sz w:val="20"/>
              </w:rPr>
            </w:pPr>
            <w:r>
              <w:rPr>
                <w:sz w:val="20"/>
              </w:rPr>
              <w:t>от 401 до 500 мест – 65;</w:t>
            </w:r>
          </w:p>
          <w:p w14:paraId="00010000">
            <w:pPr>
              <w:rPr>
                <w:sz w:val="20"/>
              </w:rPr>
            </w:pPr>
            <w:r>
              <w:rPr>
                <w:sz w:val="20"/>
              </w:rPr>
              <w:t>от 501 до 600 мест – 55;</w:t>
            </w:r>
          </w:p>
          <w:p w14:paraId="01010000">
            <w:pPr>
              <w:rPr>
                <w:sz w:val="20"/>
              </w:rPr>
            </w:pPr>
            <w:r>
              <w:rPr>
                <w:sz w:val="20"/>
              </w:rPr>
              <w:t>от 601 до 800 мест – 45;</w:t>
            </w:r>
          </w:p>
          <w:p w14:paraId="02010000">
            <w:pPr>
              <w:rPr>
                <w:sz w:val="20"/>
              </w:rPr>
            </w:pPr>
            <w:r>
              <w:rPr>
                <w:sz w:val="20"/>
              </w:rPr>
              <w:t>от 801 до 1100 мест – 36;</w:t>
            </w:r>
          </w:p>
          <w:p w14:paraId="03010000">
            <w:pPr>
              <w:rPr>
                <w:sz w:val="20"/>
              </w:rPr>
            </w:pPr>
            <w:r>
              <w:rPr>
                <w:sz w:val="20"/>
              </w:rPr>
              <w:t>от 1101 до 1500 мест – 23;</w:t>
            </w:r>
          </w:p>
          <w:p w14:paraId="04010000">
            <w:pPr>
              <w:pStyle w:val="Style_13"/>
            </w:pPr>
            <w:r>
              <w:t>от 1501 до 2000 мест – 18;</w:t>
            </w:r>
          </w:p>
          <w:p w14:paraId="05010000">
            <w:pPr>
              <w:rPr>
                <w:sz w:val="20"/>
              </w:rPr>
            </w:pPr>
            <w:r>
              <w:rPr>
                <w:sz w:val="20"/>
              </w:rPr>
              <w:t>свыше 2000 мест – 16</w:t>
            </w:r>
          </w:p>
        </w:tc>
      </w:tr>
      <w:t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06010000">
            <w:pPr>
              <w:rPr>
                <w:sz w:val="20"/>
              </w:rPr>
            </w:pPr>
            <w:r>
              <w:rPr>
                <w:sz w:val="20"/>
              </w:rPr>
              <w:t>Территориальная доступность, мин [</w:t>
            </w:r>
            <w:r>
              <w:rPr>
                <w:sz w:val="20"/>
              </w:rPr>
              <w:t>8</w:t>
            </w:r>
            <w:r>
              <w:rPr>
                <w:sz w:val="20"/>
              </w:rPr>
              <w:t>]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07010000">
            <w:pPr>
              <w:rPr>
                <w:sz w:val="20"/>
              </w:rPr>
            </w:pPr>
            <w:r>
              <w:rPr>
                <w:sz w:val="20"/>
              </w:rPr>
              <w:t>Для населенных пунктов с численностью населения до 3000 человек транспортная доступность – 30.</w:t>
            </w:r>
          </w:p>
          <w:p w14:paraId="08010000">
            <w:pPr>
              <w:rPr>
                <w:sz w:val="20"/>
              </w:rPr>
            </w:pPr>
            <w:r>
              <w:rPr>
                <w:sz w:val="20"/>
              </w:rPr>
              <w:t>Для населенных пунктов с численностью населения от 3000 человек в зависимости от вида жилой застройки:</w:t>
            </w:r>
          </w:p>
          <w:p w14:paraId="09010000">
            <w:pPr>
              <w:rPr>
                <w:sz w:val="20"/>
              </w:rPr>
            </w:pPr>
            <w:r>
              <w:rPr>
                <w:sz w:val="20"/>
              </w:rPr>
              <w:t>для многоквартирной жилой застройки пешеходная доступность – 15;</w:t>
            </w:r>
          </w:p>
          <w:p w14:paraId="0A010000">
            <w:pPr>
              <w:rPr>
                <w:sz w:val="20"/>
              </w:rPr>
            </w:pPr>
            <w:r>
              <w:rPr>
                <w:sz w:val="20"/>
              </w:rPr>
              <w:t>для индивидуальной жилой застройки транспортная доступность – 10</w:t>
            </w:r>
          </w:p>
        </w:tc>
      </w:tr>
      <w:tr>
        <w:trPr>
          <w:trHeight w:hRule="atLeast" w:val="951"/>
        </w:trPr>
        <w:tc>
          <w:tcPr>
            <w:tcW w:type="dxa" w:w="209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0B010000">
            <w:pPr>
              <w:rPr>
                <w:sz w:val="20"/>
              </w:rPr>
            </w:pPr>
            <w:r>
              <w:rPr>
                <w:sz w:val="20"/>
              </w:rPr>
              <w:t>Организации дополнительного образования</w:t>
            </w:r>
          </w:p>
        </w:tc>
        <w:tc>
          <w:tcPr>
            <w:tcW w:type="dxa" w:w="223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0C010000">
            <w:pPr>
              <w:rPr>
                <w:sz w:val="20"/>
              </w:rPr>
            </w:pPr>
            <w:r>
              <w:rPr>
                <w:sz w:val="20"/>
              </w:rPr>
              <w:t xml:space="preserve">Уровень обеспеченности, </w:t>
            </w:r>
          </w:p>
          <w:p w14:paraId="0D010000">
            <w:pPr>
              <w:rPr>
                <w:b w:val="1"/>
                <w:sz w:val="20"/>
              </w:rPr>
            </w:pPr>
            <w:r>
              <w:rPr>
                <w:sz w:val="20"/>
              </w:rPr>
              <w:t xml:space="preserve">мест по программам дополнительного образования в расчете на 100 детей в возрасте </w:t>
            </w:r>
            <w:r>
              <w:rPr>
                <w:sz w:val="20"/>
              </w:rPr>
              <w:t>от 5 до 18 лет [1, 9, 10</w:t>
            </w:r>
            <w:r>
              <w:rPr>
                <w:sz w:val="20"/>
              </w:rPr>
              <w:t>, 13</w:t>
            </w:r>
            <w:r>
              <w:rPr>
                <w:sz w:val="20"/>
              </w:rPr>
              <w:t>]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0E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80, </w:t>
            </w:r>
          </w:p>
          <w:p w14:paraId="0F010000">
            <w:pPr>
              <w:rPr>
                <w:sz w:val="20"/>
              </w:rPr>
            </w:pPr>
            <w:r>
              <w:rPr>
                <w:sz w:val="20"/>
              </w:rPr>
              <w:t>из них реализуемых на базе общеобразовательных организаций, дошкольных образовательных организаций</w:t>
            </w:r>
          </w:p>
        </w:tc>
      </w:tr>
      <w:tr>
        <w:trPr>
          <w:trHeight w:hRule="atLeast" w:val="271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34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10010000">
            <w:pPr>
              <w:rPr>
                <w:sz w:val="20"/>
              </w:rPr>
            </w:pPr>
            <w:r>
              <w:rPr>
                <w:sz w:val="20"/>
              </w:rPr>
              <w:t xml:space="preserve">групповые системы расселения (отдельные населенные пункты), </w:t>
            </w:r>
            <w:r>
              <w:rPr>
                <w:sz w:val="20"/>
              </w:rPr>
              <w:br/>
            </w:r>
            <w:r>
              <w:rPr>
                <w:sz w:val="20"/>
              </w:rPr>
              <w:t>в составе которых присутствуют городские населенные пункты</w:t>
            </w:r>
          </w:p>
        </w:tc>
        <w:tc>
          <w:tcPr>
            <w:tcW w:type="dxa" w:w="14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11010000">
            <w:pPr>
              <w:rPr>
                <w:sz w:val="20"/>
              </w:rPr>
            </w:pPr>
            <w:r>
              <w:rPr>
                <w:sz w:val="20"/>
              </w:rPr>
              <w:t>36</w:t>
            </w:r>
          </w:p>
        </w:tc>
      </w:tr>
      <w:tr>
        <w:trPr>
          <w:trHeight w:hRule="atLeast" w:val="150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3463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12010000">
            <w:pPr>
              <w:rPr>
                <w:sz w:val="20"/>
              </w:rPr>
            </w:pPr>
            <w:r>
              <w:rPr>
                <w:sz w:val="20"/>
              </w:rPr>
              <w:t xml:space="preserve">групповые системы расселения, </w:t>
            </w:r>
            <w:r>
              <w:rPr>
                <w:sz w:val="20"/>
              </w:rPr>
              <w:br/>
            </w:r>
            <w:r>
              <w:rPr>
                <w:sz w:val="20"/>
              </w:rPr>
              <w:t xml:space="preserve">в составе которых присутствуют только сельские населенные пункты </w:t>
            </w:r>
          </w:p>
        </w:tc>
        <w:tc>
          <w:tcPr>
            <w:tcW w:type="dxa" w:w="14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13010000">
            <w:pPr>
              <w:rPr>
                <w:sz w:val="20"/>
              </w:rPr>
            </w:pPr>
            <w:r>
              <w:rPr>
                <w:sz w:val="20"/>
              </w:rPr>
              <w:t>70</w:t>
            </w:r>
          </w:p>
        </w:tc>
      </w:tr>
      <w:tr>
        <w:trPr>
          <w:trHeight w:hRule="atLeast" w:val="150"/>
        </w:trP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14010000">
            <w:pPr>
              <w:rPr>
                <w:sz w:val="20"/>
              </w:rPr>
            </w:pPr>
            <w:r>
              <w:rPr>
                <w:sz w:val="20"/>
              </w:rPr>
              <w:t>Размер земельного участка, кв. м на 1 место</w:t>
            </w:r>
            <w:r>
              <w:rPr>
                <w:sz w:val="20"/>
              </w:rPr>
              <w:t xml:space="preserve"> [11]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15010000">
            <w:pPr>
              <w:rPr>
                <w:sz w:val="20"/>
              </w:rPr>
            </w:pPr>
            <w:r>
              <w:rPr>
                <w:sz w:val="20"/>
              </w:rPr>
              <w:t>Для встроенных объектов – 7,5.</w:t>
            </w:r>
          </w:p>
          <w:p w14:paraId="16010000">
            <w:pPr>
              <w:rPr>
                <w:sz w:val="20"/>
              </w:rPr>
            </w:pPr>
            <w:r>
              <w:rPr>
                <w:sz w:val="20"/>
              </w:rPr>
              <w:t>Для отдельно стоящих объектов:</w:t>
            </w:r>
          </w:p>
          <w:p w14:paraId="17010000">
            <w:pPr>
              <w:rPr>
                <w:sz w:val="20"/>
              </w:rPr>
            </w:pPr>
            <w:r>
              <w:rPr>
                <w:sz w:val="20"/>
              </w:rPr>
              <w:t>вместимостью до 500 мест – 15;</w:t>
            </w:r>
          </w:p>
          <w:p w14:paraId="18010000">
            <w:pPr>
              <w:rPr>
                <w:sz w:val="20"/>
              </w:rPr>
            </w:pPr>
            <w:r>
              <w:rPr>
                <w:sz w:val="20"/>
              </w:rPr>
              <w:t>вместимостью более 500 мест – 12</w:t>
            </w:r>
          </w:p>
        </w:tc>
      </w:tr>
      <w:tr>
        <w:tc>
          <w:tcPr>
            <w:tcW w:type="dxa" w:w="209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/>
        </w:tc>
        <w:tc>
          <w:tcPr>
            <w:tcW w:type="dxa" w:w="22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19010000">
            <w:pPr>
              <w:rPr>
                <w:sz w:val="20"/>
              </w:rPr>
            </w:pPr>
            <w:r>
              <w:rPr>
                <w:sz w:val="20"/>
              </w:rPr>
              <w:t>Территориальная доступность, мин</w:t>
            </w:r>
          </w:p>
        </w:tc>
        <w:tc>
          <w:tcPr>
            <w:tcW w:type="dxa" w:w="486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1A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населенных пунктов с численностью населения до 3000 человек транспортная доступность – 30.</w:t>
            </w:r>
          </w:p>
          <w:p w14:paraId="1B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населенных пунктов с численностью населения более 3000 человек в зависимости от вида жилой застройки:</w:t>
            </w:r>
          </w:p>
          <w:p w14:paraId="1C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многоквартирной жилой застройки пешеходная доступность – 15;</w:t>
            </w:r>
          </w:p>
          <w:p w14:paraId="1D010000">
            <w:pPr>
              <w:pStyle w:val="Style_12"/>
              <w:ind w:firstLine="0" w:left="0"/>
            </w:pPr>
            <w:r>
              <w:rPr>
                <w:rFonts w:ascii="Times New Roman" w:hAnsi="Times New Roman"/>
              </w:rPr>
              <w:t>для индивидуальной жилой застройки транспортная доступность – 10</w:t>
            </w:r>
          </w:p>
        </w:tc>
      </w:tr>
      <w:tr>
        <w:tc>
          <w:tcPr>
            <w:tcW w:type="dxa" w:w="9188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85"/>
              <w:right w:type="dxa" w:w="85"/>
            </w:tcMar>
          </w:tcPr>
          <w:p w14:paraId="1E010000">
            <w:pPr>
              <w:pStyle w:val="Style_12"/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Примечания:</w:t>
            </w:r>
          </w:p>
          <w:p w14:paraId="1F010000">
            <w:pPr>
              <w:pStyle w:val="Style_12"/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</w:t>
            </w:r>
            <w:r>
              <w:rPr>
                <w:rFonts w:ascii="Times New Roman" w:hAnsi="Times New Roman"/>
              </w:rPr>
              <w:t>Значение расчетного показателя включает в себя число мест в органи</w:t>
            </w:r>
            <w:r>
              <w:rPr>
                <w:rFonts w:ascii="Times New Roman" w:hAnsi="Times New Roman"/>
              </w:rPr>
              <w:t>зациях всех форм собственности.</w:t>
            </w:r>
          </w:p>
          <w:p w14:paraId="20010000">
            <w:pPr>
              <w:pStyle w:val="Style_12"/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При численности населения групп населенных пунктов (отдельных населенных пунктов) до 2000 человек размещение дошкольных образовательных и общеобразовательных организаций необходимо осуществлять в составе образовательных и/или многофункциональных комплексов.</w:t>
            </w:r>
          </w:p>
          <w:p w14:paraId="21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3</w:t>
            </w:r>
            <w:r>
              <w:t xml:space="preserve">. </w:t>
            </w:r>
            <w:r>
              <w:rPr>
                <w:sz w:val="20"/>
              </w:rPr>
              <w:t>Размер земельного участка дошкольной образовательной организации может быть уменьшен не более чем на 30% при условии соблюдения технических, пожарных, санитарных требований к организации территории и зданию дошкольной образовательной организации, соответствия требованиям к организации процесса функционирования дошкольной образовательной организации.</w:t>
            </w:r>
          </w:p>
          <w:p w14:paraId="22010000">
            <w:pPr>
              <w:pStyle w:val="Style_12"/>
              <w:tabs>
                <w:tab w:leader="none" w:pos="142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Вместимость планируемых к размещению общеобразовательных организаций необходимо определять с учетом их односменного режима работы.</w:t>
            </w:r>
          </w:p>
          <w:p w14:paraId="23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5. Размеры земельных участков общеобразовательных организаций могут быть уменьшены не более чем</w:t>
            </w:r>
            <w:r>
              <w:rPr>
                <w:sz w:val="20"/>
              </w:rPr>
              <w:t xml:space="preserve"> на 40% </w:t>
            </w:r>
            <w:r>
              <w:rPr>
                <w:sz w:val="20"/>
              </w:rPr>
              <w:t>при условии соблюдения технических, пожарных, санитарных требований к организации территории и зданию общеобразовательной организации, соответствия требованиям к организации процесса функционирования общеобразовательной организации.</w:t>
            </w:r>
          </w:p>
          <w:p w14:paraId="24010000">
            <w:pPr>
              <w:ind/>
              <w:jc w:val="both"/>
              <w:rPr>
                <w:sz w:val="20"/>
              </w:rPr>
            </w:pPr>
            <w:r>
              <w:rPr>
                <w:sz w:val="20"/>
              </w:rPr>
              <w:t>6. Размещение спортивного ядра общеобразовательной организации может быть предусмотрено за границами земельного участка общеобразовательной организации, в пределах 350 м от земельного участка общеобразовательной организации.</w:t>
            </w:r>
          </w:p>
          <w:p w14:paraId="25010000">
            <w:pPr>
              <w:pStyle w:val="Style_12"/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 При размещении на земельном участке общеобразовательной организации здания интерната (спального корпуса) площадь земельного участка следует увеличивать не менее, чем на 0,2 га.</w:t>
            </w:r>
          </w:p>
          <w:p w14:paraId="26010000">
            <w:pPr>
              <w:pStyle w:val="Style_12"/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 Транспортному обслуживанию подлежат учащиеся сельских общеобразовательных организаций, проживающие на расстоянии свыше 1 км от учреждения. Для учащихся, проживающих на расстоянии свыше предельно допустимого транспортного обслуживания, необходимо предусматривать пришкольный интернат из расчета 10% мест общей вместимости организации.</w:t>
            </w:r>
          </w:p>
          <w:p w14:paraId="27010000">
            <w:pPr>
              <w:pStyle w:val="Style_12"/>
              <w:tabs>
                <w:tab w:leader="none" w:pos="142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 Дифференциацию организаций дополнительного образования по направлениям дополнительных образовательных программ необходимо определять исходя из количества детей, фактически охваченных определенным направлением, а также с учетом целевых показателей и индикаторов документов стратегического планирования в области образования, культуры и искусства, физической культуры и спорта, предпочтения населения относительного градостроительного развития территории.</w:t>
            </w:r>
          </w:p>
          <w:p w14:paraId="28010000">
            <w:pPr>
              <w:pStyle w:val="Style_12"/>
              <w:tabs>
                <w:tab w:leader="none" w:pos="142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10. </w:t>
            </w:r>
            <w:r>
              <w:rPr>
                <w:rFonts w:ascii="Times New Roman" w:hAnsi="Times New Roman"/>
              </w:rPr>
              <w:t xml:space="preserve">При определении </w:t>
            </w:r>
            <w:r>
              <w:rPr>
                <w:rFonts w:ascii="Times New Roman" w:hAnsi="Times New Roman"/>
              </w:rPr>
              <w:t>единовременной вместимости здания организации</w:t>
            </w:r>
            <w:r>
              <w:rPr>
                <w:rFonts w:ascii="Times New Roman" w:hAnsi="Times New Roman"/>
              </w:rPr>
              <w:t xml:space="preserve"> дополнительного образования необходимо учитывать особенности образовательного процесса – сменность режима обучения, продолжительность занятий, количество занятий в неделю, возможность посещения в период обучения одним ребенком двух и более организаций. Таким образом, при переводе потребного числа мест </w:t>
            </w:r>
            <w:r>
              <w:rPr>
                <w:rFonts w:ascii="Times New Roman" w:hAnsi="Times New Roman"/>
              </w:rPr>
              <w:t>на программах</w:t>
            </w:r>
            <w:r>
              <w:rPr>
                <w:rFonts w:ascii="Times New Roman" w:hAnsi="Times New Roman"/>
              </w:rPr>
              <w:t xml:space="preserve"> дополнительного образования в показатель </w:t>
            </w:r>
            <w:r>
              <w:rPr>
                <w:rFonts w:ascii="Times New Roman" w:hAnsi="Times New Roman"/>
              </w:rPr>
              <w:t>мощности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организаций</w:t>
            </w:r>
            <w:r>
              <w:rPr>
                <w:rFonts w:ascii="Times New Roman" w:hAnsi="Times New Roman"/>
              </w:rPr>
              <w:t xml:space="preserve"> дополнительного образования необходимо использовать коэффициент сменности</w:t>
            </w:r>
            <w:r>
              <w:rPr>
                <w:rFonts w:ascii="Times New Roman" w:hAnsi="Times New Roman"/>
              </w:rPr>
              <w:t>.</w:t>
            </w:r>
          </w:p>
          <w:p w14:paraId="29010000">
            <w:pPr>
              <w:pStyle w:val="Style_12"/>
              <w:tabs>
                <w:tab w:leader="none" w:pos="142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 Размер земельного участка организаций дополнительного образования необходимо определять из расчета единовременной вместимости здания.</w:t>
            </w:r>
          </w:p>
          <w:p w14:paraId="2A010000">
            <w:pPr>
              <w:pStyle w:val="Style_12"/>
              <w:tabs>
                <w:tab w:leader="none" w:pos="142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12. Для автономных населенных пунктов, не относящихся к групповым системам расселения, значение </w:t>
            </w:r>
            <w:r>
              <w:rPr>
                <w:rFonts w:ascii="Times New Roman" w:hAnsi="Times New Roman"/>
              </w:rPr>
              <w:t>расчетного показателя необходимо определять исходя из численности населения населенного пункта.</w:t>
            </w:r>
          </w:p>
          <w:p w14:paraId="2B010000">
            <w:pPr>
              <w:pStyle w:val="Style_12"/>
              <w:tabs>
                <w:tab w:leader="none" w:pos="142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13. </w:t>
            </w:r>
            <w:r>
              <w:rPr>
                <w:rFonts w:ascii="Times New Roman" w:hAnsi="Times New Roman"/>
              </w:rPr>
              <w:t>К расчетным показателям минимально допустимого уровня обеспеченности необходимо применять поправочные коэффициенты, отражающие дополнительную нагрузку в пользовании объектами населением муниципального образования. Поправочные коэффициенты представлены в Приложении В.</w:t>
            </w:r>
          </w:p>
          <w:p w14:paraId="2C010000">
            <w:pPr>
              <w:pStyle w:val="Style_12"/>
              <w:tabs>
                <w:tab w:leader="none" w:pos="142" w:val="left"/>
              </w:tabs>
              <w:ind w:firstLine="0" w:left="0"/>
              <w:jc w:val="both"/>
            </w:pPr>
            <w:r>
              <w:rPr>
                <w:rFonts w:ascii="Times New Roman" w:hAnsi="Times New Roman"/>
              </w:rPr>
              <w:t>14. Дифференциация групповых систем расселения в муниципальных районах по численности населения приведена в Приложении Б.</w:t>
            </w:r>
          </w:p>
        </w:tc>
      </w:tr>
    </w:tbl>
    <w:p w14:paraId="2D010000">
      <w:bookmarkStart w:id="8" w:name="__RefHeading___8"/>
      <w:bookmarkEnd w:id="8"/>
      <w:pPr>
        <w:pStyle w:val="Style_7"/>
        <w:spacing w:before="240"/>
        <w:ind/>
        <w:jc w:val="both"/>
        <w:rPr>
          <w:sz w:val="24"/>
        </w:rPr>
      </w:pPr>
      <w:r>
        <w:rPr>
          <w:sz w:val="24"/>
        </w:rPr>
        <w:t>1</w:t>
      </w:r>
      <w:r>
        <w:rPr>
          <w:sz w:val="24"/>
        </w:rPr>
        <w:t>.</w:t>
      </w:r>
      <w:r>
        <w:rPr>
          <w:sz w:val="24"/>
        </w:rPr>
        <w:t>3</w:t>
      </w:r>
      <w:r>
        <w:rPr>
          <w:sz w:val="24"/>
        </w:rPr>
        <w:t>.</w:t>
      </w:r>
      <w:r>
        <w:rPr>
          <w:sz w:val="24"/>
        </w:rPr>
        <w:t>4</w:t>
      </w:r>
      <w:r>
        <w:rPr>
          <w:sz w:val="24"/>
        </w:rPr>
        <w:t xml:space="preserve"> В области физической культуры и массового спорта</w:t>
      </w:r>
    </w:p>
    <w:p w14:paraId="2E010000">
      <w:pPr>
        <w:pStyle w:val="Style_10"/>
        <w:tabs>
          <w:tab w:leader="none" w:pos="7655" w:val="left"/>
        </w:tabs>
        <w:spacing w:after="0" w:before="0"/>
        <w:ind/>
        <w:jc w:val="both"/>
        <w:rPr>
          <w:sz w:val="20"/>
        </w:rPr>
      </w:pPr>
      <w:r>
        <w:rPr>
          <w:sz w:val="20"/>
        </w:rPr>
        <w:t xml:space="preserve">Таблица </w:t>
      </w:r>
      <w:r>
        <w:rPr>
          <w:sz w:val="20"/>
        </w:rPr>
        <w:t>4</w:t>
      </w:r>
      <w:r>
        <w:rPr>
          <w:sz w:val="20"/>
        </w:rPr>
        <w:t xml:space="preserve"> –</w:t>
      </w:r>
      <w:r>
        <w:rPr>
          <w:sz w:val="20"/>
        </w:rPr>
        <w:t xml:space="preserve"> Р</w:t>
      </w:r>
      <w:r>
        <w:rPr>
          <w:sz w:val="20"/>
        </w:rPr>
        <w:t>асчетны</w:t>
      </w:r>
      <w:r>
        <w:rPr>
          <w:sz w:val="20"/>
        </w:rPr>
        <w:t>е</w:t>
      </w:r>
      <w:r>
        <w:rPr>
          <w:sz w:val="20"/>
        </w:rPr>
        <w:t xml:space="preserve"> показате</w:t>
      </w:r>
      <w:r>
        <w:rPr>
          <w:sz w:val="20"/>
        </w:rPr>
        <w:t>ли</w:t>
      </w:r>
      <w:r>
        <w:rPr>
          <w:sz w:val="20"/>
        </w:rPr>
        <w:t xml:space="preserve"> для объектов местного значения </w:t>
      </w:r>
      <w:r>
        <w:rPr>
          <w:sz w:val="20"/>
        </w:rPr>
        <w:t>муниципального района</w:t>
      </w:r>
      <w:r>
        <w:rPr>
          <w:sz w:val="20"/>
        </w:rPr>
        <w:t xml:space="preserve"> в области физической культуры и массового спорта</w:t>
      </w:r>
    </w:p>
    <w:p w14:paraId="2F010000">
      <w:pPr>
        <w:spacing w:line="20" w:lineRule="exact"/>
        <w:ind/>
      </w:pPr>
    </w:p>
    <w:tbl>
      <w:tblPr>
        <w:tblStyle w:val="Style_11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2220"/>
        <w:gridCol w:w="3746"/>
        <w:gridCol w:w="1798"/>
        <w:gridCol w:w="1381"/>
      </w:tblGrid>
      <w:tr>
        <w:trPr>
          <w:trHeight w:hRule="atLeast" w:val="621"/>
          <w:tblHeader/>
        </w:trPr>
        <w:tc>
          <w:tcPr>
            <w:tcW w:type="dxa" w:w="22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  <w:vAlign w:val="center"/>
          </w:tcPr>
          <w:p w14:paraId="30010000">
            <w:pPr>
              <w:pStyle w:val="Style_12"/>
              <w:ind w:firstLine="0" w:left="0"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Наименование</w:t>
            </w:r>
          </w:p>
          <w:p w14:paraId="31010000">
            <w:pPr>
              <w:pStyle w:val="Style_12"/>
              <w:ind w:firstLine="0" w:left="0"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вида объекта</w:t>
            </w:r>
          </w:p>
        </w:tc>
        <w:tc>
          <w:tcPr>
            <w:tcW w:type="dxa" w:w="3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  <w:vAlign w:val="center"/>
          </w:tcPr>
          <w:p w14:paraId="32010000">
            <w:pPr>
              <w:pStyle w:val="Style_12"/>
              <w:ind w:firstLine="0" w:left="0"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Наименование нормируемого расчетного показателя,</w:t>
            </w:r>
          </w:p>
          <w:p w14:paraId="3301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единица измерения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  <w:vAlign w:val="center"/>
          </w:tcPr>
          <w:p w14:paraId="34010000">
            <w:pPr>
              <w:pStyle w:val="Style_12"/>
              <w:ind w:firstLine="0" w:left="0"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Значение расчетного показателя</w:t>
            </w:r>
          </w:p>
        </w:tc>
      </w:tr>
      <w:tr>
        <w:trPr>
          <w:trHeight w:hRule="atLeast" w:val="621"/>
        </w:trPr>
        <w:tc>
          <w:tcPr>
            <w:tcW w:type="dxa" w:w="22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35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Спортивные сооружения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1, 3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3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36010000">
            <w:r>
              <w:rPr>
                <w:sz w:val="20"/>
              </w:rPr>
              <w:t>Уровень обеспеченности,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t>единовременная пропускная способность на 1</w:t>
            </w:r>
            <w:r>
              <w:rPr>
                <w:sz w:val="20"/>
              </w:rPr>
              <w:t>000</w:t>
            </w:r>
            <w:r>
              <w:rPr>
                <w:sz w:val="20"/>
              </w:rPr>
              <w:t xml:space="preserve"> человек в возрасте от 3</w:t>
            </w:r>
            <w:r>
              <w:rPr>
                <w:sz w:val="20"/>
              </w:rPr>
              <w:t xml:space="preserve"> до 79 лет 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37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122</w:t>
            </w:r>
          </w:p>
        </w:tc>
      </w:tr>
      <w:tr>
        <w:trPr>
          <w:trHeight w:hRule="atLeast" w:val="70"/>
        </w:trPr>
        <w:tc>
          <w:tcPr>
            <w:tcW w:type="dxa" w:w="22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38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type="dxa" w:w="3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39010000">
            <w:pPr>
              <w:rPr>
                <w:sz w:val="20"/>
              </w:rPr>
            </w:pP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3A010000">
            <w:pPr>
              <w:pStyle w:val="Style_12"/>
              <w:ind w:firstLine="0" w:left="0"/>
              <w:rPr>
                <w:rFonts w:ascii="Times New Roman" w:hAnsi="Times New Roman"/>
              </w:rPr>
            </w:pPr>
          </w:p>
        </w:tc>
      </w:tr>
      <w:tr>
        <w:trPr>
          <w:trHeight w:hRule="atLeast" w:val="1006"/>
        </w:trPr>
        <w:tc>
          <w:tcPr>
            <w:tcW w:type="dxa" w:w="222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3B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</w:t>
            </w:r>
            <w:r>
              <w:rPr>
                <w:rFonts w:ascii="Times New Roman" w:hAnsi="Times New Roman"/>
              </w:rPr>
              <w:t xml:space="preserve">изкультурно-спортивные залы </w:t>
            </w:r>
          </w:p>
        </w:tc>
        <w:tc>
          <w:tcPr>
            <w:tcW w:type="dxa" w:w="37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3C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Уровень обеспеченности, </w:t>
            </w:r>
          </w:p>
          <w:p w14:paraId="3D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объектов (объект) х единовременная пропускная способность (человек)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  <w:vAlign w:val="bottom"/>
          </w:tcPr>
          <w:p w14:paraId="3E010000">
            <w:pPr>
              <w:pStyle w:val="Style_12"/>
              <w:spacing w:beforeAutospacing="on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численности населения, человек [</w:t>
            </w:r>
            <w:r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 1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]</w:t>
            </w:r>
          </w:p>
        </w:tc>
      </w:tr>
      <w:tr>
        <w:trPr>
          <w:trHeight w:hRule="atLeast" w:val="8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3F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500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0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8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1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>100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2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1х30</w:t>
            </w:r>
          </w:p>
        </w:tc>
      </w:tr>
      <w:tr>
        <w:trPr>
          <w:trHeight w:hRule="atLeast" w:val="8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3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 xml:space="preserve">2000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4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2х30</w:t>
            </w:r>
          </w:p>
        </w:tc>
      </w:tr>
      <w:tr>
        <w:trPr>
          <w:trHeight w:hRule="atLeast" w:val="8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5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 xml:space="preserve">5000 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6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3х30</w:t>
            </w:r>
          </w:p>
        </w:tc>
      </w:tr>
      <w:tr>
        <w:trPr>
          <w:trHeight w:hRule="atLeast" w:val="8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7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5000-10000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8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4х30</w:t>
            </w:r>
          </w:p>
        </w:tc>
      </w:tr>
      <w:tr>
        <w:trPr>
          <w:trHeight w:hRule="atLeast" w:val="8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9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10000-20000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A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5х30</w:t>
            </w:r>
          </w:p>
        </w:tc>
      </w:tr>
      <w:tr>
        <w:trPr>
          <w:trHeight w:hRule="atLeast" w:val="8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B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более </w:t>
            </w:r>
            <w:r>
              <w:rPr>
                <w:rFonts w:ascii="Times New Roman" w:hAnsi="Times New Roman"/>
              </w:rPr>
              <w:t xml:space="preserve">20000 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C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6х30</w:t>
            </w:r>
          </w:p>
        </w:tc>
      </w:tr>
      <w:tr>
        <w:trPr>
          <w:trHeight w:hRule="atLeast" w:val="164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D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Транспортная доступность, мин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E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</w:tr>
      <w:tr>
        <w:trPr>
          <w:trHeight w:hRule="atLeast" w:val="20"/>
        </w:trPr>
        <w:tc>
          <w:tcPr>
            <w:tcW w:type="dxa" w:w="222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4F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>
              <w:rPr>
                <w:rFonts w:ascii="Times New Roman" w:hAnsi="Times New Roman"/>
              </w:rPr>
              <w:t xml:space="preserve">лоскостные спортивные сооружения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7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37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0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Уровень обеспеченности, </w:t>
            </w:r>
          </w:p>
          <w:p w14:paraId="51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объектов (объект) х единовременная пропускная способность (человек)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2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численности населения, человек [</w:t>
            </w:r>
            <w:r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 1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]</w:t>
            </w:r>
          </w:p>
        </w:tc>
      </w:tr>
      <w:tr>
        <w:trPr>
          <w:trHeight w:hRule="atLeast" w:val="74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3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500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4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(2-3)х30</w:t>
            </w:r>
          </w:p>
        </w:tc>
      </w:tr>
      <w:tr>
        <w:trPr>
          <w:trHeight w:hRule="atLeast" w:val="74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5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500–</w:t>
            </w:r>
            <w:r>
              <w:rPr>
                <w:rFonts w:ascii="Times New Roman" w:hAnsi="Times New Roman"/>
              </w:rPr>
              <w:t xml:space="preserve">1000 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6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(3-4) х 30</w:t>
            </w:r>
          </w:p>
        </w:tc>
      </w:tr>
      <w:tr>
        <w:trPr>
          <w:trHeight w:hRule="atLeast" w:val="74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7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 xml:space="preserve">2000 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8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(3-6) х 30</w:t>
            </w:r>
          </w:p>
        </w:tc>
      </w:tr>
      <w:tr>
        <w:trPr>
          <w:trHeight w:hRule="atLeast" w:val="74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9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2000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 xml:space="preserve">5000 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A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(3-6) х 30</w:t>
            </w:r>
          </w:p>
        </w:tc>
      </w:tr>
      <w:tr>
        <w:trPr>
          <w:trHeight w:hRule="atLeast" w:val="74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B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5000-10000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C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(6-12)х30</w:t>
            </w:r>
          </w:p>
        </w:tc>
      </w:tr>
      <w:tr>
        <w:trPr>
          <w:trHeight w:hRule="atLeast" w:val="74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D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10000-20000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E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(12-15)х30</w:t>
            </w:r>
          </w:p>
        </w:tc>
      </w:tr>
      <w:tr>
        <w:trPr>
          <w:trHeight w:hRule="atLeast" w:val="74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5F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более 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60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(15-20) х 30</w:t>
            </w:r>
          </w:p>
        </w:tc>
      </w:tr>
      <w:tr>
        <w:trPr>
          <w:trHeight w:hRule="atLeast" w:val="148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61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Транспортная доступность, мин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62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</w:tr>
      <w:tr>
        <w:trPr>
          <w:trHeight w:hRule="atLeast" w:val="185"/>
        </w:trPr>
        <w:tc>
          <w:tcPr>
            <w:tcW w:type="dxa" w:w="222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3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>
              <w:rPr>
                <w:rFonts w:ascii="Times New Roman" w:hAnsi="Times New Roman"/>
              </w:rPr>
              <w:t xml:space="preserve">тадионы с трибунами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4,</w:t>
            </w:r>
            <w:r>
              <w:rPr>
                <w:rFonts w:ascii="Times New Roman" w:hAnsi="Times New Roman"/>
              </w:rPr>
              <w:t>8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37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4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Уровень обеспеченности, </w:t>
            </w:r>
          </w:p>
          <w:p w14:paraId="65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объектов (объект) х единовременная пропускная способность (человек)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6010000">
            <w:pPr>
              <w:rPr>
                <w:sz w:val="20"/>
              </w:rPr>
            </w:pPr>
            <w:r>
              <w:rPr>
                <w:sz w:val="20"/>
              </w:rPr>
              <w:t>Д</w:t>
            </w:r>
            <w:r>
              <w:rPr>
                <w:sz w:val="20"/>
              </w:rPr>
              <w:t>л</w:t>
            </w:r>
            <w:r>
              <w:rPr>
                <w:sz w:val="20"/>
              </w:rPr>
              <w:t xml:space="preserve">я групповых систем расселения (отдельных населенных пунктов) в зависимости от численности населения, человек </w:t>
            </w:r>
          </w:p>
        </w:tc>
      </w:tr>
      <w:tr>
        <w:trPr>
          <w:trHeight w:hRule="atLeast" w:val="18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7010000">
            <w:pPr>
              <w:rPr>
                <w:sz w:val="20"/>
              </w:rPr>
            </w:pPr>
            <w:r>
              <w:rPr>
                <w:sz w:val="20"/>
              </w:rPr>
              <w:t>5000-10000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8010000">
            <w:pPr>
              <w:rPr>
                <w:sz w:val="20"/>
              </w:rPr>
            </w:pPr>
            <w:r>
              <w:rPr>
                <w:sz w:val="20"/>
              </w:rPr>
              <w:t>1х60</w:t>
            </w:r>
          </w:p>
        </w:tc>
      </w:tr>
      <w:tr>
        <w:trPr>
          <w:trHeight w:hRule="atLeast" w:val="18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9010000">
            <w:pPr>
              <w:rPr>
                <w:sz w:val="20"/>
              </w:rPr>
            </w:pPr>
            <w:r>
              <w:rPr>
                <w:sz w:val="20"/>
              </w:rPr>
              <w:t>10000х20000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A010000">
            <w:pPr>
              <w:rPr>
                <w:sz w:val="20"/>
              </w:rPr>
            </w:pPr>
            <w:r>
              <w:rPr>
                <w:sz w:val="20"/>
              </w:rPr>
              <w:t>1х60</w:t>
            </w:r>
          </w:p>
        </w:tc>
      </w:tr>
      <w:tr>
        <w:trPr>
          <w:trHeight w:hRule="atLeast" w:val="18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B010000">
            <w:pPr>
              <w:rPr>
                <w:sz w:val="20"/>
              </w:rPr>
            </w:pPr>
            <w:r>
              <w:rPr>
                <w:sz w:val="20"/>
              </w:rPr>
              <w:t>20000 и более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C010000">
            <w:pPr>
              <w:rPr>
                <w:sz w:val="20"/>
              </w:rPr>
            </w:pPr>
            <w:r>
              <w:rPr>
                <w:sz w:val="20"/>
              </w:rPr>
              <w:t>1х60</w:t>
            </w:r>
          </w:p>
        </w:tc>
      </w:tr>
      <w:tr>
        <w:trPr>
          <w:trHeight w:hRule="atLeast" w:val="159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D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Транспортная доступность, мин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E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</w:tr>
      <w:tr>
        <w:trPr>
          <w:trHeight w:hRule="atLeast" w:val="51"/>
        </w:trPr>
        <w:tc>
          <w:tcPr>
            <w:tcW w:type="dxa" w:w="222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6F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</w:rPr>
              <w:t xml:space="preserve">анежи легкоатлетические, футбольные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37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0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Уровень обеспеченности,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количество объектов х единовременная пропускная способность 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1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численности населения, человек</w:t>
            </w:r>
          </w:p>
        </w:tc>
      </w:tr>
      <w:tr>
        <w:trPr>
          <w:trHeight w:hRule="atLeast" w:val="5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2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5000-10000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3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1х30</w:t>
            </w:r>
          </w:p>
        </w:tc>
      </w:tr>
      <w:tr>
        <w:trPr>
          <w:trHeight w:hRule="atLeast" w:val="5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4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10000х20000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5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1х30</w:t>
            </w:r>
          </w:p>
        </w:tc>
      </w:tr>
      <w:tr>
        <w:trPr>
          <w:trHeight w:hRule="atLeast" w:val="5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6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20000 и более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7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1х30</w:t>
            </w:r>
          </w:p>
        </w:tc>
      </w:tr>
      <w:tr>
        <w:trPr>
          <w:trHeight w:hRule="atLeast" w:val="5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8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Транспортная доступность, мин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9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</w:tr>
      <w:tr>
        <w:trPr>
          <w:trHeight w:hRule="atLeast" w:val="151"/>
        </w:trPr>
        <w:tc>
          <w:tcPr>
            <w:tcW w:type="dxa" w:w="222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A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>
              <w:rPr>
                <w:rFonts w:ascii="Times New Roman" w:hAnsi="Times New Roman"/>
              </w:rPr>
              <w:t xml:space="preserve">лавательные бассейны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4,6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37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B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Уровень обеспеченности, </w:t>
            </w:r>
          </w:p>
          <w:p w14:paraId="7C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объектов (объект) х единовременная пропускная способность (человек)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D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численности населения, человек</w:t>
            </w:r>
          </w:p>
        </w:tc>
      </w:tr>
      <w:tr>
        <w:trPr>
          <w:trHeight w:hRule="atLeast" w:val="15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E010000">
            <w:pPr>
              <w:rPr>
                <w:sz w:val="20"/>
              </w:rPr>
            </w:pPr>
            <w:r>
              <w:rPr>
                <w:sz w:val="20"/>
              </w:rPr>
              <w:t>5000-10000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7F010000">
            <w:pPr>
              <w:rPr>
                <w:sz w:val="20"/>
              </w:rPr>
            </w:pPr>
            <w:r>
              <w:rPr>
                <w:sz w:val="20"/>
              </w:rPr>
              <w:t>1х32</w:t>
            </w:r>
          </w:p>
        </w:tc>
      </w:tr>
      <w:tr>
        <w:trPr>
          <w:trHeight w:hRule="atLeast" w:val="15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0010000">
            <w:pPr>
              <w:rPr>
                <w:sz w:val="20"/>
              </w:rPr>
            </w:pPr>
            <w:r>
              <w:rPr>
                <w:sz w:val="20"/>
              </w:rPr>
              <w:t>10000-20000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1010000">
            <w:pPr>
              <w:rPr>
                <w:sz w:val="20"/>
              </w:rPr>
            </w:pPr>
            <w:r>
              <w:rPr>
                <w:sz w:val="20"/>
              </w:rPr>
              <w:t>1х32</w:t>
            </w:r>
          </w:p>
        </w:tc>
      </w:tr>
      <w:tr>
        <w:trPr>
          <w:trHeight w:hRule="atLeast" w:val="151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2010000">
            <w:pPr>
              <w:rPr>
                <w:sz w:val="20"/>
              </w:rPr>
            </w:pPr>
            <w:r>
              <w:rPr>
                <w:sz w:val="20"/>
              </w:rPr>
              <w:t>20000 и более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3010000">
            <w:pPr>
              <w:rPr>
                <w:sz w:val="20"/>
              </w:rPr>
            </w:pPr>
            <w:r>
              <w:t>1х32</w:t>
            </w:r>
          </w:p>
        </w:tc>
      </w:tr>
      <w:tr>
        <w:trPr>
          <w:trHeight w:hRule="atLeast" w:val="20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4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Транспортная доступность, мин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5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  <w:p w14:paraId="86010000">
            <w:pPr>
              <w:pStyle w:val="Style_12"/>
              <w:ind w:firstLine="0" w:left="0"/>
              <w:rPr>
                <w:rFonts w:ascii="Times New Roman" w:hAnsi="Times New Roman"/>
              </w:rPr>
            </w:pPr>
          </w:p>
        </w:tc>
      </w:tr>
      <w:tr>
        <w:trPr>
          <w:trHeight w:hRule="atLeast" w:val="130"/>
        </w:trPr>
        <w:tc>
          <w:tcPr>
            <w:tcW w:type="dxa" w:w="222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7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</w:t>
            </w:r>
            <w:r>
              <w:rPr>
                <w:rFonts w:ascii="Times New Roman" w:hAnsi="Times New Roman"/>
              </w:rPr>
              <w:t>рытые спортивные сооружения с искусственным льдом [4, 5]</w:t>
            </w:r>
          </w:p>
        </w:tc>
        <w:tc>
          <w:tcPr>
            <w:tcW w:type="dxa" w:w="37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8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Уровень обеспеченности, </w:t>
            </w:r>
          </w:p>
          <w:p w14:paraId="89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объектов (объект) х единовременная пропускная способность (человек)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A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численности населения, человек</w:t>
            </w:r>
          </w:p>
        </w:tc>
      </w:tr>
      <w:tr>
        <w:trPr>
          <w:trHeight w:hRule="atLeast" w:val="130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B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5000-10000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C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1х30</w:t>
            </w:r>
          </w:p>
        </w:tc>
      </w:tr>
      <w:tr>
        <w:trPr>
          <w:trHeight w:hRule="atLeast" w:val="130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D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10000-20000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E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1х30</w:t>
            </w:r>
          </w:p>
        </w:tc>
      </w:tr>
      <w:tr>
        <w:trPr>
          <w:trHeight w:hRule="atLeast" w:val="130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8F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20000 и более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90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1х30</w:t>
            </w:r>
          </w:p>
        </w:tc>
      </w:tr>
      <w:tr>
        <w:trPr>
          <w:trHeight w:hRule="atLeast" w:val="62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91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Транспортная доступность, мин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92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</w:tr>
      <w:tr>
        <w:trPr>
          <w:trHeight w:hRule="atLeast" w:val="393"/>
        </w:trPr>
        <w:tc>
          <w:tcPr>
            <w:tcW w:type="dxa" w:w="222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3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лыжные базы </w:t>
            </w:r>
          </w:p>
        </w:tc>
        <w:tc>
          <w:tcPr>
            <w:tcW w:type="dxa" w:w="37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4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Уровень обеспеченности, </w:t>
            </w:r>
          </w:p>
          <w:p w14:paraId="95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объектов (объект) х единовременная пропускная способность (человек)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6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чис</w:t>
            </w:r>
            <w:r>
              <w:rPr>
                <w:rFonts w:ascii="Times New Roman" w:hAnsi="Times New Roman"/>
              </w:rPr>
              <w:t>ленности населения, человек [9</w:t>
            </w:r>
            <w:r>
              <w:rPr>
                <w:rFonts w:ascii="Times New Roman" w:hAnsi="Times New Roman"/>
              </w:rPr>
              <w:t>, 10</w:t>
            </w:r>
            <w:r>
              <w:rPr>
                <w:rFonts w:ascii="Times New Roman" w:hAnsi="Times New Roman"/>
              </w:rPr>
              <w:t>]</w:t>
            </w:r>
          </w:p>
        </w:tc>
      </w:tr>
      <w:tr>
        <w:trPr>
          <w:trHeight w:hRule="atLeast" w:val="204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7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 xml:space="preserve">2000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8010000">
            <w:pPr>
              <w:rPr>
                <w:sz w:val="20"/>
              </w:rPr>
            </w:pPr>
            <w:r>
              <w:rPr>
                <w:sz w:val="20"/>
              </w:rPr>
              <w:t>1х25</w:t>
            </w:r>
          </w:p>
        </w:tc>
      </w:tr>
      <w:tr>
        <w:trPr>
          <w:trHeight w:hRule="atLeast" w:val="8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9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 xml:space="preserve">5000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A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1х25</w:t>
            </w:r>
          </w:p>
        </w:tc>
      </w:tr>
      <w:tr>
        <w:trPr>
          <w:trHeight w:hRule="atLeast" w:val="8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B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5000-10000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C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2х25</w:t>
            </w:r>
          </w:p>
        </w:tc>
      </w:tr>
      <w:tr>
        <w:trPr>
          <w:trHeight w:hRule="atLeast" w:val="8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D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10000-20000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E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3х25</w:t>
            </w:r>
          </w:p>
        </w:tc>
      </w:tr>
      <w:tr>
        <w:trPr>
          <w:trHeight w:hRule="atLeast" w:val="179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9F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более 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A0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4х25</w:t>
            </w:r>
          </w:p>
        </w:tc>
      </w:tr>
      <w:tr>
        <w:trPr>
          <w:trHeight w:hRule="atLeast" w:val="151"/>
        </w:trPr>
        <w:tc>
          <w:tcPr>
            <w:tcW w:type="dxa" w:w="222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1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>
              <w:rPr>
                <w:rFonts w:ascii="Times New Roman" w:hAnsi="Times New Roman"/>
              </w:rPr>
              <w:t>ооружения для стрелковых видов спорта [4]</w:t>
            </w:r>
          </w:p>
        </w:tc>
        <w:tc>
          <w:tcPr>
            <w:tcW w:type="dxa" w:w="37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2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Уровень обеспеченности, </w:t>
            </w:r>
          </w:p>
          <w:p w14:paraId="A3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объектов (объект) х единовременная пропускная способность (человек)</w:t>
            </w:r>
          </w:p>
        </w:tc>
        <w:tc>
          <w:tcPr>
            <w:tcW w:type="dxa" w:w="317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4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численности населения, человек [</w:t>
            </w:r>
            <w:r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 10</w:t>
            </w:r>
            <w:r>
              <w:rPr>
                <w:rFonts w:ascii="Times New Roman" w:hAnsi="Times New Roman"/>
              </w:rPr>
              <w:t>]</w:t>
            </w:r>
          </w:p>
        </w:tc>
      </w:tr>
      <w:tr>
        <w:trPr>
          <w:trHeight w:hRule="atLeast" w:val="14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5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 xml:space="preserve">2000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6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1х4</w:t>
            </w:r>
          </w:p>
        </w:tc>
      </w:tr>
      <w:tr>
        <w:trPr>
          <w:trHeight w:hRule="atLeast" w:val="14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7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–</w:t>
            </w:r>
            <w:r>
              <w:rPr>
                <w:rFonts w:ascii="Times New Roman" w:hAnsi="Times New Roman"/>
              </w:rPr>
              <w:t xml:space="preserve">5000 </w:t>
            </w: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]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8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1х4</w:t>
            </w:r>
          </w:p>
        </w:tc>
      </w:tr>
      <w:tr>
        <w:trPr>
          <w:trHeight w:hRule="atLeast" w:val="14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9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5000-10000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A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2х4</w:t>
            </w:r>
          </w:p>
        </w:tc>
      </w:tr>
      <w:tr>
        <w:trPr>
          <w:trHeight w:hRule="atLeast" w:val="14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B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10000-20000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C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3х4</w:t>
            </w:r>
          </w:p>
        </w:tc>
      </w:tr>
      <w:tr>
        <w:trPr>
          <w:trHeight w:hRule="atLeast" w:val="145"/>
        </w:trPr>
        <w:tc>
          <w:tcPr>
            <w:tcW w:type="dxa" w:w="222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37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/>
        </w:tc>
        <w:tc>
          <w:tcPr>
            <w:tcW w:type="dxa" w:w="17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D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более 20000</w:t>
            </w:r>
          </w:p>
        </w:tc>
        <w:tc>
          <w:tcPr>
            <w:tcW w:type="dxa" w:w="13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tcMar>
              <w:top w:type="dxa" w:w="28"/>
              <w:left w:type="dxa" w:w="85"/>
              <w:right w:type="dxa" w:w="85"/>
            </w:tcMar>
          </w:tcPr>
          <w:p w14:paraId="AE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4х4</w:t>
            </w:r>
          </w:p>
        </w:tc>
      </w:tr>
      <w:tr>
        <w:trPr>
          <w:trHeight w:hRule="atLeast" w:val="20"/>
        </w:trPr>
        <w:tc>
          <w:tcPr>
            <w:tcW w:type="dxa" w:w="914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right w:type="dxa" w:w="85"/>
            </w:tcMar>
          </w:tcPr>
          <w:p w14:paraId="AF010000">
            <w:pPr>
              <w:pStyle w:val="Style_12"/>
              <w:ind w:firstLine="34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Примечания:</w:t>
            </w:r>
          </w:p>
          <w:p w14:paraId="B0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 спортивным сооружениям относятся объекты всех видов и форм собственности, используемые для проведения физкультурных и (или) спортивных мероприятий для населения в возрасте от 3 до 79 лет включительно. При оценке уровня обеспеченности населения объектами местного значения муниципального района в области физической культуры и массового спорта учитываются спортивные сооружения в составе общеобразовательных организаций.</w:t>
            </w:r>
          </w:p>
          <w:p w14:paraId="B1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Объекты спортивной инфраструктуры необходимо размещать при образовательных организациях</w:t>
            </w:r>
            <w:r>
              <w:rPr>
                <w:rFonts w:ascii="Times New Roman" w:hAnsi="Times New Roman"/>
              </w:rPr>
              <w:t>.</w:t>
            </w:r>
          </w:p>
          <w:p w14:paraId="B2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Значение расчетного показателя минимально допустимого уровня обеспеченности установлено как усредненное количество объектов в целом на групповую систему расселения. </w:t>
            </w:r>
          </w:p>
          <w:p w14:paraId="B3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Спортивные сооружения рекомендуется размещать в центре районной системы расселения.</w:t>
            </w:r>
          </w:p>
          <w:p w14:paraId="B4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 игре в хоккей единовременная пропускная способность крытого спортивного объекта с искусственным льдом составляет не менее 30 человек, при массовом катании – 80 человек.</w:t>
            </w:r>
          </w:p>
          <w:p w14:paraId="B5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Приведено нормативное значение расчетного показателя минимально допустимого уровня обеспеченности крытыми плавательными бассейнами с ванной не менее 25 м и 6 дорожками (без учета плавательных бассейнов в составе общеобразовательных организаций), из условия размещения не менее 1 объекта на муниципальный район. </w:t>
            </w:r>
          </w:p>
          <w:p w14:paraId="B6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группе населенных пунктов от 500 человек рекомендуются к размещению универсальные игровые спортивные площадки (25х15м), малые площадки с возможностью выполнения нормативов комплекса ГТО и (или) для занятий воздушной силовой атлетикой (воркаут) – 8х5 м, физкультурно-оздоровительные комплексы открытого типа (ФОКОТ), при условии размещения не менее 1 объекта на населенный пункт с численностью населения от 50 человек.</w:t>
            </w:r>
          </w:p>
          <w:p w14:paraId="B7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Муниципальное образование самостоятельно определяет количество мест на трибунах в зависимости от потребности.</w:t>
            </w:r>
          </w:p>
          <w:p w14:paraId="B8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автономных населенных пунктов, не относящихся к групповым системам расселения, значение расчетного показателя необходимо определять исходя из численности населения населенного пункта.</w:t>
            </w:r>
          </w:p>
          <w:p w14:paraId="B9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Дифференциация групповых систем расселения по численности населения приведена в Приложении Б.</w:t>
            </w:r>
          </w:p>
          <w:p w14:paraId="BA010000">
            <w:pPr>
              <w:pStyle w:val="Style_12"/>
              <w:numPr>
                <w:ilvl w:val="0"/>
                <w:numId w:val="3"/>
              </w:numPr>
              <w:tabs>
                <w:tab w:leader="none" w:pos="284" w:val="left"/>
              </w:tabs>
              <w:ind w:firstLine="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Дифференциация групповых систем расселения по численности населения приведена в приложении Б.</w:t>
            </w:r>
          </w:p>
        </w:tc>
      </w:tr>
    </w:tbl>
    <w:p w14:paraId="BB010000">
      <w:pPr>
        <w:pStyle w:val="Style_7"/>
        <w:spacing w:before="240"/>
        <w:ind/>
        <w:jc w:val="both"/>
        <w:rPr>
          <w:sz w:val="24"/>
        </w:rPr>
      </w:pPr>
    </w:p>
    <w:p w14:paraId="BC010000">
      <w:bookmarkStart w:id="9" w:name="__RefHeading___9"/>
      <w:bookmarkEnd w:id="9"/>
      <w:pPr>
        <w:pStyle w:val="Style_7"/>
        <w:spacing w:before="240"/>
        <w:ind/>
        <w:jc w:val="both"/>
        <w:rPr>
          <w:sz w:val="24"/>
        </w:rPr>
      </w:pPr>
      <w:r>
        <w:rPr>
          <w:sz w:val="24"/>
        </w:rPr>
        <w:t>1.</w:t>
      </w:r>
      <w:r>
        <w:rPr>
          <w:sz w:val="24"/>
        </w:rPr>
        <w:t>3</w:t>
      </w:r>
      <w:r>
        <w:rPr>
          <w:sz w:val="24"/>
        </w:rPr>
        <w:t>.</w:t>
      </w:r>
      <w:r>
        <w:rPr>
          <w:sz w:val="24"/>
        </w:rPr>
        <w:t>5</w:t>
      </w:r>
      <w:r>
        <w:rPr>
          <w:sz w:val="24"/>
        </w:rPr>
        <w:t xml:space="preserve"> В области культуры</w:t>
      </w:r>
      <w:r>
        <w:rPr>
          <w:sz w:val="24"/>
        </w:rPr>
        <w:t xml:space="preserve"> и искусства</w:t>
      </w:r>
    </w:p>
    <w:p w14:paraId="BD010000">
      <w:pPr>
        <w:ind/>
        <w:jc w:val="both"/>
        <w:rPr>
          <w:b w:val="1"/>
          <w:sz w:val="22"/>
        </w:rPr>
      </w:pPr>
      <w:r>
        <w:rPr>
          <w:b w:val="1"/>
          <w:sz w:val="22"/>
        </w:rPr>
        <w:t xml:space="preserve">Таблица </w:t>
      </w:r>
      <w:r>
        <w:rPr>
          <w:b w:val="1"/>
          <w:sz w:val="22"/>
        </w:rPr>
        <w:t>5</w:t>
      </w:r>
      <w:r>
        <w:rPr>
          <w:b w:val="1"/>
          <w:sz w:val="22"/>
        </w:rPr>
        <w:t xml:space="preserve"> –</w:t>
      </w:r>
      <w:r>
        <w:rPr>
          <w:b w:val="1"/>
          <w:sz w:val="22"/>
        </w:rPr>
        <w:t xml:space="preserve"> Р</w:t>
      </w:r>
      <w:r>
        <w:rPr>
          <w:b w:val="1"/>
          <w:sz w:val="22"/>
        </w:rPr>
        <w:t>асчетны</w:t>
      </w:r>
      <w:r>
        <w:rPr>
          <w:b w:val="1"/>
          <w:sz w:val="22"/>
        </w:rPr>
        <w:t xml:space="preserve">е показатели </w:t>
      </w:r>
      <w:r>
        <w:rPr>
          <w:b w:val="1"/>
          <w:sz w:val="22"/>
        </w:rPr>
        <w:t xml:space="preserve">для объектов местного значения </w:t>
      </w:r>
      <w:r>
        <w:rPr>
          <w:b w:val="1"/>
          <w:sz w:val="22"/>
        </w:rPr>
        <w:t>муниципального района</w:t>
      </w:r>
      <w:r>
        <w:rPr>
          <w:b w:val="1"/>
          <w:sz w:val="22"/>
        </w:rPr>
        <w:t xml:space="preserve"> в области культуры и искусства</w:t>
      </w:r>
    </w:p>
    <w:tbl>
      <w:tblPr>
        <w:tblStyle w:val="Style_11"/>
        <w:tblInd w:type="dxa" w:w="6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2242"/>
        <w:gridCol w:w="2934"/>
        <w:gridCol w:w="1855"/>
        <w:gridCol w:w="2201"/>
      </w:tblGrid>
      <w:tr>
        <w:trPr>
          <w:trHeight w:hRule="atLeast" w:val="434"/>
          <w:tblHeader/>
        </w:trPr>
        <w:tc>
          <w:tcPr>
            <w:tcW w:type="dxa" w:w="22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  <w:vAlign w:val="center"/>
          </w:tcPr>
          <w:p w14:paraId="BE010000">
            <w:pPr>
              <w:widowControl w:val="0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Наименование вида объекта</w:t>
            </w:r>
          </w:p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  <w:vAlign w:val="center"/>
          </w:tcPr>
          <w:p w14:paraId="BF010000">
            <w:pPr>
              <w:widowControl w:val="0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Наименование нормируемого расчетного показателя, </w:t>
            </w:r>
          </w:p>
          <w:p w14:paraId="C0010000">
            <w:pPr>
              <w:widowControl w:val="0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единица измерения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  <w:vAlign w:val="center"/>
          </w:tcPr>
          <w:p w14:paraId="C1010000">
            <w:pPr>
              <w:widowControl w:val="0"/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Значение расчетного показателя</w:t>
            </w:r>
          </w:p>
        </w:tc>
      </w:tr>
      <w:tr>
        <w:trPr>
          <w:trHeight w:hRule="atLeast" w:val="574"/>
        </w:trPr>
        <w:tc>
          <w:tcPr>
            <w:tcW w:type="dxa" w:w="224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C2010000">
            <w:pPr>
              <w:widowControl w:val="0"/>
              <w:spacing w:line="252" w:lineRule="auto"/>
              <w:ind/>
              <w:rPr>
                <w:b w:val="1"/>
                <w:sz w:val="20"/>
                <w:highlight w:val="yellow"/>
              </w:rPr>
            </w:pPr>
            <w:r>
              <w:rPr>
                <w:sz w:val="20"/>
              </w:rPr>
              <w:t>Библиотеки</w:t>
            </w:r>
            <w:r>
              <w:rPr>
                <w:sz w:val="20"/>
              </w:rPr>
              <w:t xml:space="preserve"> [</w:t>
            </w:r>
            <w:r>
              <w:rPr>
                <w:sz w:val="20"/>
              </w:rPr>
              <w:t>1, 2</w:t>
            </w:r>
            <w:r>
              <w:rPr>
                <w:sz w:val="20"/>
              </w:rPr>
              <w:t>]</w:t>
            </w:r>
          </w:p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C3010000">
            <w:pPr>
              <w:widowControl w:val="0"/>
              <w:ind/>
              <w:rPr>
                <w:sz w:val="20"/>
              </w:rPr>
            </w:pPr>
            <w:r>
              <w:rPr>
                <w:sz w:val="20"/>
              </w:rPr>
              <w:t xml:space="preserve">Уровень обеспеченности, </w:t>
            </w:r>
          </w:p>
          <w:p w14:paraId="C4010000">
            <w:pPr>
              <w:widowControl w:val="0"/>
              <w:spacing w:line="252" w:lineRule="auto"/>
              <w:ind/>
              <w:rPr>
                <w:b w:val="1"/>
                <w:sz w:val="20"/>
                <w:highlight w:val="yellow"/>
              </w:rPr>
            </w:pPr>
            <w:r>
              <w:rPr>
                <w:sz w:val="20"/>
              </w:rPr>
              <w:t>объект</w:t>
            </w:r>
            <w:r>
              <w:rPr>
                <w:sz w:val="20"/>
              </w:rPr>
              <w:t>ов</w:t>
            </w:r>
            <w:r>
              <w:rPr>
                <w:sz w:val="20"/>
              </w:rPr>
              <w:t xml:space="preserve"> на муниципальный район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C5010000">
            <w:pPr>
              <w:widowControl w:val="0"/>
              <w:ind/>
              <w:rPr>
                <w:sz w:val="20"/>
              </w:rPr>
            </w:pPr>
            <w:r>
              <w:rPr>
                <w:sz w:val="20"/>
              </w:rPr>
              <w:t>Районная библиотека –</w:t>
            </w:r>
            <w:r>
              <w:rPr>
                <w:sz w:val="20"/>
              </w:rPr>
              <w:t xml:space="preserve"> 1</w:t>
            </w:r>
          </w:p>
          <w:p w14:paraId="C6010000">
            <w:pPr>
              <w:widowControl w:val="0"/>
              <w:spacing w:line="252" w:lineRule="auto"/>
              <w:ind/>
              <w:rPr>
                <w:b w:val="1"/>
                <w:sz w:val="20"/>
                <w:highlight w:val="yellow"/>
              </w:rPr>
            </w:pPr>
            <w:r>
              <w:rPr>
                <w:sz w:val="20"/>
              </w:rPr>
              <w:t>Детская библиотека – 1</w:t>
            </w:r>
          </w:p>
        </w:tc>
      </w:tr>
      <w:tr>
        <w:trPr>
          <w:trHeight w:hRule="atLeast" w:val="256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C7010000">
            <w:pPr>
              <w:rPr>
                <w:sz w:val="20"/>
              </w:rPr>
            </w:pPr>
            <w:r>
              <w:rPr>
                <w:sz w:val="20"/>
              </w:rPr>
              <w:t>Размер земельного участка,</w:t>
            </w:r>
          </w:p>
          <w:p w14:paraId="C8010000">
            <w:pPr>
              <w:widowControl w:val="0"/>
              <w:spacing w:line="252" w:lineRule="auto"/>
              <w:ind/>
              <w:rPr>
                <w:b w:val="1"/>
                <w:sz w:val="20"/>
                <w:highlight w:val="yellow"/>
              </w:rPr>
            </w:pPr>
            <w:r>
              <w:rPr>
                <w:sz w:val="20"/>
              </w:rPr>
              <w:t>га на объект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C9010000">
            <w:pPr>
              <w:widowControl w:val="0"/>
              <w:ind/>
              <w:rPr>
                <w:b w:val="1"/>
                <w:sz w:val="20"/>
                <w:highlight w:val="yellow"/>
              </w:rPr>
            </w:pPr>
            <w:r>
              <w:rPr>
                <w:sz w:val="20"/>
              </w:rPr>
              <w:t>0,3</w:t>
            </w:r>
          </w:p>
        </w:tc>
      </w:tr>
      <w:tr>
        <w:trPr>
          <w:trHeight w:hRule="atLeast" w:val="20"/>
        </w:trPr>
        <w:tc>
          <w:tcPr>
            <w:tcW w:type="dxa" w:w="224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CA010000">
            <w:pPr>
              <w:widowControl w:val="0"/>
              <w:spacing w:line="252" w:lineRule="auto"/>
              <w:ind/>
              <w:rPr>
                <w:sz w:val="20"/>
                <w:highlight w:val="yellow"/>
              </w:rPr>
            </w:pPr>
            <w:r>
              <w:rPr>
                <w:sz w:val="20"/>
              </w:rPr>
              <w:t xml:space="preserve">Общедоступные </w:t>
            </w:r>
            <w:r>
              <w:rPr>
                <w:sz w:val="20"/>
              </w:rPr>
              <w:t>библиотеки [3, 4,</w:t>
            </w:r>
            <w:r>
              <w:rPr>
                <w:sz w:val="20"/>
              </w:rPr>
              <w:t xml:space="preserve"> 6, 7</w:t>
            </w:r>
            <w:r>
              <w:rPr>
                <w:sz w:val="20"/>
              </w:rPr>
              <w:t>]</w:t>
            </w:r>
          </w:p>
        </w:tc>
        <w:tc>
          <w:tcPr>
            <w:tcW w:type="dxa" w:w="293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CB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Уровень обеспеченности, </w:t>
            </w:r>
          </w:p>
          <w:p w14:paraId="CC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объект</w:t>
            </w:r>
            <w:r>
              <w:rPr>
                <w:sz w:val="20"/>
              </w:rPr>
              <w:t>ов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CD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Для групповых систем расселения (отдельных </w:t>
            </w:r>
            <w:r>
              <w:rPr>
                <w:sz w:val="20"/>
              </w:rPr>
              <w:t>населенных пунктов) в зависимости от численности населения, человек [13</w:t>
            </w:r>
            <w:r>
              <w:rPr>
                <w:sz w:val="20"/>
              </w:rPr>
              <w:t>, 14</w:t>
            </w:r>
            <w:r>
              <w:rPr>
                <w:sz w:val="20"/>
              </w:rPr>
              <w:t>]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CE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до 500</w:t>
            </w:r>
          </w:p>
          <w:p w14:paraId="CF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от 500 до 1000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0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 на центр групповой системы расселения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1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от 100</w:t>
            </w:r>
            <w:r>
              <w:rPr>
                <w:sz w:val="20"/>
              </w:rPr>
              <w:t>0</w:t>
            </w:r>
            <w:r>
              <w:rPr>
                <w:sz w:val="20"/>
              </w:rPr>
              <w:t xml:space="preserve"> до 2000</w:t>
            </w:r>
          </w:p>
          <w:p w14:paraId="D2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от 200</w:t>
            </w:r>
            <w:r>
              <w:rPr>
                <w:sz w:val="20"/>
              </w:rPr>
              <w:t>0</w:t>
            </w:r>
            <w:r>
              <w:rPr>
                <w:sz w:val="20"/>
              </w:rPr>
              <w:t xml:space="preserve"> до 5000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3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 на 1000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4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5000-10000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5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 на 2500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6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более 10000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7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2 на 10000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8010000">
            <w:pPr>
              <w:rPr>
                <w:sz w:val="20"/>
              </w:rPr>
            </w:pPr>
            <w:r>
              <w:rPr>
                <w:sz w:val="20"/>
              </w:rPr>
              <w:t xml:space="preserve">Размер земельного участка, </w:t>
            </w:r>
          </w:p>
          <w:p w14:paraId="D9010000">
            <w:pPr>
              <w:rPr>
                <w:sz w:val="20"/>
              </w:rPr>
            </w:pPr>
            <w:r>
              <w:rPr>
                <w:sz w:val="20"/>
              </w:rPr>
              <w:t>га на объект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A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0,3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B010000">
            <w:pPr>
              <w:rPr>
                <w:sz w:val="20"/>
              </w:rPr>
            </w:pPr>
            <w:r>
              <w:rPr>
                <w:sz w:val="20"/>
              </w:rPr>
              <w:t>Транспортная доступность, мин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C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30 </w:t>
            </w:r>
          </w:p>
        </w:tc>
      </w:tr>
      <w:tr>
        <w:trPr>
          <w:trHeight w:hRule="atLeast" w:val="20"/>
        </w:trPr>
        <w:tc>
          <w:tcPr>
            <w:tcW w:type="dxa" w:w="22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D010000">
            <w:pPr>
              <w:widowControl w:val="0"/>
              <w:spacing w:line="252" w:lineRule="auto"/>
              <w:ind/>
              <w:rPr>
                <w:sz w:val="20"/>
                <w:highlight w:val="yellow"/>
              </w:rPr>
            </w:pPr>
            <w:r>
              <w:rPr>
                <w:sz w:val="20"/>
              </w:rPr>
              <w:t>Центры культурного развития/районные дома культуры</w:t>
            </w:r>
          </w:p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DE010000">
            <w:pPr>
              <w:widowControl w:val="0"/>
              <w:ind/>
              <w:rPr>
                <w:sz w:val="20"/>
              </w:rPr>
            </w:pPr>
            <w:r>
              <w:rPr>
                <w:sz w:val="20"/>
              </w:rPr>
              <w:t xml:space="preserve">Уровень обеспеченности, </w:t>
            </w:r>
          </w:p>
          <w:p w14:paraId="DF010000">
            <w:pPr>
              <w:rPr>
                <w:sz w:val="20"/>
              </w:rPr>
            </w:pPr>
            <w:r>
              <w:rPr>
                <w:sz w:val="20"/>
              </w:rPr>
              <w:t>объект</w:t>
            </w:r>
            <w:r>
              <w:rPr>
                <w:sz w:val="20"/>
              </w:rPr>
              <w:t>ов</w:t>
            </w:r>
            <w:r>
              <w:rPr>
                <w:sz w:val="20"/>
              </w:rPr>
              <w:t xml:space="preserve"> на муниципальный район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0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z w:val="20"/>
              </w:rPr>
              <w:t>[</w:t>
            </w:r>
            <w:r>
              <w:rPr>
                <w:sz w:val="20"/>
              </w:rPr>
              <w:t>1</w:t>
            </w:r>
            <w:r>
              <w:rPr>
                <w:sz w:val="20"/>
              </w:rPr>
              <w:t>]</w:t>
            </w:r>
          </w:p>
        </w:tc>
      </w:tr>
      <w:tr>
        <w:trPr>
          <w:trHeight w:hRule="atLeast" w:val="20"/>
        </w:trPr>
        <w:tc>
          <w:tcPr>
            <w:tcW w:type="dxa" w:w="224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1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Учреждения культурно-досугового (клубного) типа [</w:t>
            </w:r>
            <w:r>
              <w:rPr>
                <w:sz w:val="20"/>
              </w:rPr>
              <w:t>5</w:t>
            </w:r>
            <w:r>
              <w:rPr>
                <w:sz w:val="20"/>
              </w:rPr>
              <w:t xml:space="preserve">, </w:t>
            </w:r>
            <w:r>
              <w:rPr>
                <w:sz w:val="20"/>
              </w:rPr>
              <w:t>6</w:t>
            </w:r>
            <w:r>
              <w:rPr>
                <w:sz w:val="20"/>
              </w:rPr>
              <w:t xml:space="preserve">, </w:t>
            </w:r>
            <w:r>
              <w:rPr>
                <w:sz w:val="20"/>
              </w:rPr>
              <w:t>7</w:t>
            </w:r>
            <w:r>
              <w:rPr>
                <w:sz w:val="20"/>
              </w:rPr>
              <w:t>, 8</w:t>
            </w:r>
            <w:r>
              <w:rPr>
                <w:sz w:val="20"/>
              </w:rPr>
              <w:t>]</w:t>
            </w:r>
          </w:p>
        </w:tc>
        <w:tc>
          <w:tcPr>
            <w:tcW w:type="dxa" w:w="293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2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Уровень обеспеченности, </w:t>
            </w:r>
          </w:p>
          <w:p w14:paraId="E3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мест на 1 тыс. населения 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4010000">
            <w:pPr>
              <w:widowControl w:val="0"/>
              <w:spacing w:line="252" w:lineRule="auto"/>
              <w:ind/>
              <w:rPr>
                <w:sz w:val="20"/>
                <w:highlight w:val="yellow"/>
              </w:rPr>
            </w:pPr>
            <w:r>
              <w:rPr>
                <w:sz w:val="20"/>
              </w:rPr>
              <w:t>Для групповых систем расселения (отдельных населенных пунктов) в зависимости от численности населения, человек [13</w:t>
            </w:r>
            <w:r>
              <w:rPr>
                <w:sz w:val="20"/>
              </w:rPr>
              <w:t>, 14</w:t>
            </w:r>
            <w:r>
              <w:rPr>
                <w:sz w:val="20"/>
              </w:rPr>
              <w:t>]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5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до 500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6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130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7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500–</w:t>
            </w:r>
            <w:r>
              <w:rPr>
                <w:sz w:val="20"/>
              </w:rPr>
              <w:t>1000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8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180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9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100</w:t>
            </w:r>
            <w:r>
              <w:rPr>
                <w:sz w:val="20"/>
              </w:rPr>
              <w:t>0</w:t>
            </w:r>
            <w:r>
              <w:rPr>
                <w:sz w:val="20"/>
              </w:rPr>
              <w:t>–</w:t>
            </w:r>
            <w:r>
              <w:rPr>
                <w:sz w:val="20"/>
              </w:rPr>
              <w:t xml:space="preserve">2000 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A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230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B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200</w:t>
            </w:r>
            <w:r>
              <w:rPr>
                <w:sz w:val="20"/>
              </w:rPr>
              <w:t>0</w:t>
            </w:r>
            <w:r>
              <w:rPr>
                <w:sz w:val="20"/>
              </w:rPr>
              <w:t>–</w:t>
            </w:r>
            <w:r>
              <w:rPr>
                <w:sz w:val="20"/>
              </w:rPr>
              <w:t>5000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C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170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D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5000-10000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E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80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EF010000">
            <w:pPr>
              <w:widowControl w:val="0"/>
              <w:spacing w:line="252" w:lineRule="auto"/>
              <w:ind/>
              <w:rPr>
                <w:b w:val="1"/>
                <w:sz w:val="20"/>
              </w:rPr>
            </w:pPr>
            <w:r>
              <w:rPr>
                <w:sz w:val="20"/>
              </w:rPr>
              <w:t>10000-20000</w:t>
            </w:r>
          </w:p>
          <w:p w14:paraId="F0010000">
            <w:pPr>
              <w:widowControl w:val="0"/>
              <w:spacing w:line="252" w:lineRule="auto"/>
              <w:ind/>
              <w:rPr>
                <w:b w:val="1"/>
                <w:sz w:val="20"/>
              </w:rPr>
            </w:pPr>
            <w:r>
              <w:rPr>
                <w:sz w:val="20"/>
              </w:rPr>
              <w:t xml:space="preserve">более </w:t>
            </w:r>
            <w:r>
              <w:rPr>
                <w:sz w:val="20"/>
              </w:rPr>
              <w:t>2</w:t>
            </w:r>
            <w:r>
              <w:rPr>
                <w:sz w:val="20"/>
              </w:rPr>
              <w:t>0000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1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65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2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Транспортная доступность, мин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3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</w:tr>
      <w:tr>
        <w:trPr>
          <w:trHeight w:hRule="atLeast" w:val="20"/>
        </w:trPr>
        <w:tc>
          <w:tcPr>
            <w:tcW w:type="dxa" w:w="224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4010000">
            <w:pPr>
              <w:widowControl w:val="0"/>
              <w:spacing w:line="252" w:lineRule="auto"/>
              <w:ind/>
              <w:rPr>
                <w:sz w:val="20"/>
                <w:highlight w:val="yellow"/>
              </w:rPr>
            </w:pPr>
            <w:r>
              <w:rPr>
                <w:sz w:val="20"/>
              </w:rPr>
              <w:t>Краеведческий/тематический музей</w:t>
            </w:r>
            <w:r>
              <w:rPr>
                <w:sz w:val="20"/>
              </w:rPr>
              <w:t xml:space="preserve"> [</w:t>
            </w:r>
            <w:r>
              <w:rPr>
                <w:sz w:val="20"/>
              </w:rPr>
              <w:t>9</w:t>
            </w:r>
            <w:r>
              <w:rPr>
                <w:sz w:val="20"/>
              </w:rPr>
              <w:t>]</w:t>
            </w:r>
          </w:p>
        </w:tc>
        <w:tc>
          <w:tcPr>
            <w:tcW w:type="dxa" w:w="293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5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Уровень обеспеченности, </w:t>
            </w:r>
          </w:p>
          <w:p w14:paraId="F6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объект</w:t>
            </w:r>
            <w:r>
              <w:rPr>
                <w:sz w:val="20"/>
              </w:rPr>
              <w:t>ов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7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z w:val="20"/>
              </w:rPr>
              <w:t xml:space="preserve"> на муниципальный район [1</w:t>
            </w:r>
            <w:r>
              <w:rPr>
                <w:sz w:val="20"/>
              </w:rPr>
              <w:t>]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8010000">
            <w:pPr>
              <w:pStyle w:val="Style_12"/>
              <w:ind w:firstLine="0"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групповых систем расселения (отдельных населенных пунктов) в зависимости от численности населения, человек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9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10000-20000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A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B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более 20000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C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 на 10000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D010000">
            <w:pPr>
              <w:widowControl w:val="0"/>
              <w:ind/>
              <w:rPr>
                <w:sz w:val="20"/>
              </w:rPr>
            </w:pPr>
            <w:r>
              <w:rPr>
                <w:sz w:val="20"/>
              </w:rPr>
              <w:t xml:space="preserve">Размер земельного участка, </w:t>
            </w:r>
          </w:p>
          <w:p w14:paraId="FE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га на объект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FF01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</w:tr>
      <w:tr>
        <w:trPr>
          <w:trHeight w:hRule="atLeast" w:val="464"/>
        </w:trPr>
        <w:tc>
          <w:tcPr>
            <w:tcW w:type="dxa" w:w="224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0020000">
            <w:pPr>
              <w:widowControl w:val="0"/>
              <w:spacing w:line="252" w:lineRule="auto"/>
              <w:ind/>
              <w:rPr>
                <w:sz w:val="20"/>
                <w:highlight w:val="yellow"/>
              </w:rPr>
            </w:pPr>
            <w:r>
              <w:rPr>
                <w:sz w:val="20"/>
              </w:rPr>
              <w:t>Кинозалы [10, 11, 12]</w:t>
            </w:r>
          </w:p>
        </w:tc>
        <w:tc>
          <w:tcPr>
            <w:tcW w:type="dxa" w:w="293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1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Уровень обеспеченности, </w:t>
            </w:r>
          </w:p>
          <w:p w14:paraId="02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мест на 1 тыс. населения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3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Группа населенных пунктов (групповая система расселения) в зависимости от численности населения, человек </w:t>
            </w:r>
          </w:p>
        </w:tc>
      </w:tr>
      <w:tr>
        <w:trPr>
          <w:trHeight w:hRule="atLeast" w:val="353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4020000">
            <w:pPr>
              <w:rPr>
                <w:sz w:val="20"/>
              </w:rPr>
            </w:pPr>
            <w:r>
              <w:t>о</w:t>
            </w:r>
            <w:r>
              <w:rPr>
                <w:sz w:val="20"/>
              </w:rPr>
              <w:t>т 500 до 5000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5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6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5000-10000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7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40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8020000">
            <w:pPr>
              <w:widowControl w:val="0"/>
              <w:spacing w:line="252" w:lineRule="auto"/>
              <w:ind/>
              <w:rPr>
                <w:sz w:val="20"/>
              </w:rPr>
            </w:pPr>
          </w:p>
        </w:tc>
        <w:tc>
          <w:tcPr>
            <w:tcW w:type="dxa" w:w="1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9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10000 и более</w:t>
            </w:r>
          </w:p>
        </w:tc>
        <w:tc>
          <w:tcPr>
            <w:tcW w:type="dxa" w:w="22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A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</w:tr>
      <w:tr>
        <w:trPr>
          <w:trHeight w:hRule="atLeast" w:val="20"/>
        </w:trPr>
        <w:tc>
          <w:tcPr>
            <w:tcW w:type="dxa" w:w="224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/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B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 xml:space="preserve">Размер земельного участка, </w:t>
            </w:r>
          </w:p>
          <w:p w14:paraId="0C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га на объект</w:t>
            </w:r>
          </w:p>
        </w:tc>
        <w:tc>
          <w:tcPr>
            <w:tcW w:type="dxa" w:w="405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D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0,3</w:t>
            </w:r>
          </w:p>
        </w:tc>
      </w:tr>
      <w:tr>
        <w:trPr>
          <w:trHeight w:hRule="atLeast" w:val="20"/>
        </w:trPr>
        <w:tc>
          <w:tcPr>
            <w:tcW w:type="dxa" w:w="9232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57"/>
              <w:left w:type="dxa" w:w="62"/>
              <w:bottom w:type="dxa" w:w="57"/>
              <w:right w:type="dxa" w:w="62"/>
            </w:tcMar>
          </w:tcPr>
          <w:p w14:paraId="0E020000">
            <w:pPr>
              <w:widowControl w:val="0"/>
              <w:spacing w:line="252" w:lineRule="auto"/>
              <w:ind/>
              <w:rPr>
                <w:sz w:val="20"/>
              </w:rPr>
            </w:pPr>
            <w:r>
              <w:rPr>
                <w:sz w:val="20"/>
              </w:rPr>
              <w:t>Примечания:</w:t>
            </w:r>
          </w:p>
          <w:p w14:paraId="0F020000">
            <w:pPr>
              <w:widowControl w:val="0"/>
              <w:tabs>
                <w:tab w:leader="none" w:pos="222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1. </w:t>
            </w:r>
            <w:r>
              <w:rPr>
                <w:sz w:val="20"/>
              </w:rPr>
              <w:t>Объекты культуры необходимо размещать в центрах районных систем расселения.</w:t>
            </w:r>
          </w:p>
          <w:p w14:paraId="10020000">
            <w:pPr>
              <w:tabs>
                <w:tab w:leader="none" w:pos="222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>2. Детские библиотеки могут размещаться как самостоятельные объекты, так и объединенные библиотеки для детей и молодежи с отделами по соответствующим возрастным категориям пользователей, либо в качестве структурных подразделений районных библиотек.</w:t>
            </w:r>
          </w:p>
          <w:p w14:paraId="11020000">
            <w:pPr>
              <w:tabs>
                <w:tab w:leader="none" w:pos="222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3. В составе общедоступных библиотек рекомендуется размещать детские отделения. </w:t>
            </w:r>
          </w:p>
          <w:p w14:paraId="12020000">
            <w:pPr>
              <w:tabs>
                <w:tab w:leader="none" w:pos="222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>4. Если расстояние между населенным пунктом, включенным в групповую систему расселения, и ближайшим объектом библиотечного обслуживания превышает 3 км, необходимо размещение общедоступной библиотеки/библиотечного пункта</w:t>
            </w:r>
            <w:r>
              <w:rPr>
                <w:sz w:val="20"/>
              </w:rPr>
              <w:t xml:space="preserve"> в</w:t>
            </w:r>
            <w:r>
              <w:rPr>
                <w:sz w:val="20"/>
              </w:rPr>
              <w:t xml:space="preserve"> зависимости от численности населения: более 500 человек – общедоступная библиотека, менее 500 – библиотечный пункт.</w:t>
            </w:r>
          </w:p>
          <w:p w14:paraId="13020000">
            <w:pPr>
              <w:tabs>
                <w:tab w:leader="none" w:pos="222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>5. В составе учреждений культурно-досугового клубного типа (домов культуры) следует размещать объекты для развития местного традиционного народного художественного творчества и промыслов.</w:t>
            </w:r>
          </w:p>
          <w:p w14:paraId="14020000">
            <w:pPr>
              <w:tabs>
                <w:tab w:leader="none" w:pos="222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>6. Обязательно размещение учреждения культурно-досугового (клубного) типа, общедоступной библиотеки в центре групповой системы расселения.</w:t>
            </w:r>
          </w:p>
          <w:p w14:paraId="15020000">
            <w:pPr>
              <w:tabs>
                <w:tab w:leader="none" w:pos="222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>7. В групповых системах расселения с численностью менее 1 тыс. человек целесообразно размещение учреждений культурно-досугового (клубного) типа, общедоступных библиотек в составе многофункциональных культурных центров.</w:t>
            </w:r>
          </w:p>
          <w:p w14:paraId="16020000">
            <w:pPr>
              <w:tabs>
                <w:tab w:leader="none" w:pos="80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>8. В муниципальных районах для обслуживания населенных пунктов, не имеющих стационарных учреждений культуры, создается передвижной многофункциональный культурный центр – 1 транспортная единица.</w:t>
            </w:r>
          </w:p>
          <w:p w14:paraId="17020000">
            <w:pPr>
              <w:tabs>
                <w:tab w:leader="none" w:pos="80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>9. При наличии музейных предметов и коллекций, зарегистрированных в порядке, установленном законодательством Российской Федерации, создаются музеи независимо от численности групповой системы расселения.</w:t>
            </w:r>
          </w:p>
          <w:p w14:paraId="18020000">
            <w:pPr>
              <w:tabs>
                <w:tab w:leader="none" w:pos="80" w:val="left"/>
              </w:tabs>
              <w:ind/>
              <w:jc w:val="both"/>
              <w:rPr>
                <w:sz w:val="20"/>
              </w:rPr>
            </w:pPr>
            <w:r>
              <w:rPr>
                <w:sz w:val="20"/>
              </w:rPr>
              <w:t xml:space="preserve">10. В составе учреждений культурно-досугового (клубного) типа, в центрах культурного развития/районных домах культуры рекомендуется размещать кинозалы. </w:t>
            </w:r>
          </w:p>
          <w:p w14:paraId="19020000">
            <w:pPr>
              <w:tabs>
                <w:tab w:leader="none" w:pos="80" w:val="left"/>
              </w:tabs>
              <w:ind/>
              <w:jc w:val="both"/>
              <w:rPr>
                <w:sz w:val="20"/>
              </w:rPr>
            </w:pPr>
            <w:r>
              <w:rPr>
                <w:rFonts w:ascii="PT Astra Serif" w:hAnsi="PT Astra Serif"/>
                <w:sz w:val="20"/>
              </w:rPr>
              <w:t>11. При наличии в кинотеатре нескольких кинозалов к учету принимается каждый кинозал как сетевая единица. Также к расчету принимаются кинозалы, расположенные в учреждениях культуры либо в коммерческих организациях.</w:t>
            </w:r>
          </w:p>
          <w:p w14:paraId="1A020000">
            <w:pPr>
              <w:tabs>
                <w:tab w:leader="none" w:pos="80" w:val="left"/>
                <w:tab w:leader="none" w:pos="364" w:val="left"/>
              </w:tabs>
              <w:ind/>
              <w:jc w:val="both"/>
              <w:rPr>
                <w:rFonts w:ascii="PT Astra Serif" w:hAnsi="PT Astra Serif"/>
                <w:sz w:val="20"/>
              </w:rPr>
            </w:pPr>
            <w:r>
              <w:rPr>
                <w:rFonts w:ascii="PT Astra Serif" w:hAnsi="PT Astra Serif"/>
                <w:sz w:val="20"/>
              </w:rPr>
              <w:t>12. За сетевую единицу принимаются объекты всех форм собственности.</w:t>
            </w:r>
          </w:p>
          <w:p w14:paraId="1B020000">
            <w:pPr>
              <w:tabs>
                <w:tab w:leader="none" w:pos="364" w:val="left"/>
              </w:tabs>
              <w:ind/>
              <w:jc w:val="both"/>
              <w:rPr>
                <w:sz w:val="20"/>
              </w:rPr>
            </w:pPr>
            <w:r>
              <w:rPr>
                <w:rFonts w:ascii="PT Astra Serif" w:hAnsi="PT Astra Serif"/>
                <w:sz w:val="20"/>
              </w:rPr>
              <w:t xml:space="preserve">13. </w:t>
            </w:r>
            <w:r>
              <w:rPr>
                <w:sz w:val="20"/>
              </w:rPr>
              <w:t>Для автономных населенных пунктов, не относящихся к групповым системам расселения, значение расчетного показателя необходимо определять исходя из численности населения населенного пункта.</w:t>
            </w:r>
          </w:p>
          <w:p w14:paraId="1C020000">
            <w:pPr>
              <w:spacing w:after="200" w:line="252" w:lineRule="auto"/>
              <w:ind/>
              <w:contextualSpacing w:val="1"/>
              <w:jc w:val="both"/>
              <w:rPr>
                <w:sz w:val="20"/>
                <w:highlight w:val="yellow"/>
              </w:rPr>
            </w:pPr>
            <w:r>
              <w:rPr>
                <w:sz w:val="20"/>
              </w:rPr>
              <w:t>14. Дифференциация групповых систем расселения по численности населения приведена в Приложении Б.</w:t>
            </w:r>
          </w:p>
        </w:tc>
      </w:tr>
    </w:tbl>
    <w:p w14:paraId="1D020000">
      <w:bookmarkStart w:id="10" w:name="__RefHeading___10"/>
      <w:bookmarkEnd w:id="10"/>
      <w:pPr>
        <w:pStyle w:val="Style_7"/>
        <w:spacing w:before="240"/>
        <w:ind/>
        <w:jc w:val="both"/>
        <w:rPr>
          <w:sz w:val="24"/>
        </w:rPr>
      </w:pPr>
      <w:r>
        <w:rPr>
          <w:sz w:val="24"/>
        </w:rPr>
        <w:t>1.</w:t>
      </w:r>
      <w:r>
        <w:rPr>
          <w:sz w:val="24"/>
        </w:rPr>
        <w:t>3</w:t>
      </w:r>
      <w:r>
        <w:rPr>
          <w:sz w:val="24"/>
        </w:rPr>
        <w:t>.</w:t>
      </w:r>
      <w:r>
        <w:rPr>
          <w:sz w:val="24"/>
        </w:rPr>
        <w:t>6</w:t>
      </w:r>
      <w:r>
        <w:rPr>
          <w:sz w:val="24"/>
        </w:rPr>
        <w:t xml:space="preserve"> В области жилищного строительства</w:t>
      </w:r>
    </w:p>
    <w:p w14:paraId="1E020000">
      <w:pPr>
        <w:pStyle w:val="Style_10"/>
        <w:spacing w:before="0"/>
        <w:ind/>
        <w:jc w:val="both"/>
        <w:rPr>
          <w:sz w:val="20"/>
        </w:rPr>
      </w:pPr>
      <w:r>
        <w:rPr>
          <w:sz w:val="20"/>
        </w:rPr>
        <w:t xml:space="preserve">Таблица </w:t>
      </w:r>
      <w:r>
        <w:rPr>
          <w:sz w:val="20"/>
        </w:rPr>
        <w:t>6</w:t>
      </w:r>
      <w:r>
        <w:rPr>
          <w:sz w:val="20"/>
        </w:rPr>
        <w:t xml:space="preserve"> –</w:t>
      </w:r>
      <w:r>
        <w:rPr>
          <w:sz w:val="20"/>
        </w:rPr>
        <w:t xml:space="preserve"> Расчетные</w:t>
      </w:r>
      <w:r>
        <w:rPr>
          <w:sz w:val="20"/>
        </w:rPr>
        <w:t xml:space="preserve"> показател</w:t>
      </w:r>
      <w:r>
        <w:rPr>
          <w:sz w:val="20"/>
        </w:rPr>
        <w:t>и</w:t>
      </w:r>
      <w:r>
        <w:rPr>
          <w:sz w:val="20"/>
        </w:rPr>
        <w:t xml:space="preserve"> для объектов </w:t>
      </w:r>
      <w:r>
        <w:rPr>
          <w:sz w:val="20"/>
        </w:rPr>
        <w:t>жилищного строительства</w:t>
      </w:r>
    </w:p>
    <w:tbl>
      <w:tblPr>
        <w:tblStyle w:val="Style_1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1660"/>
        <w:gridCol w:w="2194"/>
        <w:gridCol w:w="1335"/>
        <w:gridCol w:w="1365"/>
        <w:gridCol w:w="1065"/>
        <w:gridCol w:w="1725"/>
      </w:tblGrid>
      <w:tr>
        <w:trPr>
          <w:trHeight w:hRule="atLeast" w:val="64"/>
          <w:tblHeader/>
        </w:trPr>
        <w:tc>
          <w:tcPr>
            <w:tcW w:type="dxa" w:w="16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F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Наименование вида объекта</w:t>
            </w:r>
          </w:p>
        </w:tc>
        <w:tc>
          <w:tcPr>
            <w:tcW w:type="dxa" w:w="21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0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Наименование нормируемого расчетного показателя, единица измерения</w:t>
            </w:r>
          </w:p>
        </w:tc>
        <w:tc>
          <w:tcPr>
            <w:tcW w:type="dxa" w:w="5490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1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Значение расчетного показателя</w:t>
            </w:r>
          </w:p>
        </w:tc>
      </w:tr>
      <w:tr>
        <w:trPr>
          <w:trHeight w:hRule="atLeast" w:val="462"/>
        </w:trPr>
        <w:tc>
          <w:tcPr>
            <w:tcW w:type="dxa" w:w="16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20000">
            <w:pPr>
              <w:rPr>
                <w:sz w:val="20"/>
              </w:rPr>
            </w:pPr>
            <w:r>
              <w:rPr>
                <w:sz w:val="20"/>
              </w:rPr>
              <w:t>Объекты жилищного строительства</w:t>
            </w:r>
          </w:p>
        </w:tc>
        <w:tc>
          <w:tcPr>
            <w:tcW w:type="dxa" w:w="21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20000">
            <w:pPr>
              <w:pStyle w:val="Style_14"/>
            </w:pPr>
            <w:r>
              <w:t>Расчетная плотность на</w:t>
            </w:r>
            <w:r>
              <w:t>селения территории многоквартир</w:t>
            </w:r>
            <w:r>
              <w:t>ной жилой застройки, чел</w:t>
            </w:r>
            <w:r>
              <w:t>овек</w:t>
            </w:r>
            <w:r>
              <w:t>/га</w:t>
            </w:r>
            <w:r>
              <w:t xml:space="preserve"> [1]</w:t>
            </w:r>
          </w:p>
        </w:tc>
        <w:tc>
          <w:tcPr>
            <w:tcW w:type="dxa" w:w="13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4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Размер элемента планировочной структуры</w:t>
            </w:r>
          </w:p>
        </w:tc>
        <w:tc>
          <w:tcPr>
            <w:tcW w:type="dxa" w:w="4155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Расчетная плотность населения территории многоквартирной </w:t>
            </w:r>
          </w:p>
          <w:p w14:paraId="2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жилой застройки</w:t>
            </w:r>
          </w:p>
        </w:tc>
      </w:tr>
      <w:tr>
        <w:trPr>
          <w:trHeight w:hRule="atLeast" w:val="430"/>
        </w:trPr>
        <w:tc>
          <w:tcPr>
            <w:tcW w:type="dxa" w:w="16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1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3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/>
        </w:tc>
        <w:tc>
          <w:tcPr>
            <w:tcW w:type="dxa" w:w="1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м</w:t>
            </w:r>
            <w:r>
              <w:rPr>
                <w:sz w:val="20"/>
              </w:rPr>
              <w:t xml:space="preserve">алоэтажная </w:t>
            </w:r>
          </w:p>
          <w:p w14:paraId="28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застройка</w:t>
            </w:r>
          </w:p>
        </w:tc>
        <w:tc>
          <w:tcPr>
            <w:tcW w:type="dxa" w:w="10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средне </w:t>
            </w:r>
            <w:r>
              <w:rPr>
                <w:sz w:val="20"/>
              </w:rPr>
              <w:t>этажная застройка</w:t>
            </w:r>
          </w:p>
        </w:tc>
        <w:tc>
          <w:tcPr>
            <w:tcW w:type="dxa" w:w="17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20000">
            <w:pPr>
              <w:rPr>
                <w:sz w:val="20"/>
              </w:rPr>
            </w:pPr>
            <w:r>
              <w:rPr>
                <w:sz w:val="20"/>
              </w:rPr>
              <w:t>многоэтажная застройка</w:t>
            </w:r>
          </w:p>
        </w:tc>
      </w:tr>
      <w:tr>
        <w:trPr>
          <w:trHeight w:hRule="atLeast" w:val="317"/>
        </w:trPr>
        <w:tc>
          <w:tcPr>
            <w:tcW w:type="dxa" w:w="16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1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3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B020000">
            <w:pPr>
              <w:pStyle w:val="Style_14"/>
              <w:ind/>
              <w:jc w:val="center"/>
            </w:pPr>
            <w:r>
              <w:t xml:space="preserve">от </w:t>
            </w:r>
            <w:r>
              <w:t>4</w:t>
            </w:r>
            <w:r>
              <w:t xml:space="preserve"> до 10 га</w:t>
            </w:r>
          </w:p>
        </w:tc>
        <w:tc>
          <w:tcPr>
            <w:tcW w:type="dxa" w:w="1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C020000">
            <w:pPr>
              <w:pStyle w:val="Style_14"/>
              <w:ind w:firstLine="0" w:left="-108" w:right="-108"/>
              <w:jc w:val="center"/>
            </w:pPr>
            <w:r>
              <w:t>200</w:t>
            </w:r>
          </w:p>
        </w:tc>
        <w:tc>
          <w:tcPr>
            <w:tcW w:type="dxa" w:w="10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D020000">
            <w:pPr>
              <w:pStyle w:val="Style_14"/>
              <w:ind w:firstLine="0" w:left="-108" w:right="-108"/>
              <w:jc w:val="center"/>
            </w:pPr>
            <w:r>
              <w:t>355</w:t>
            </w:r>
          </w:p>
        </w:tc>
        <w:tc>
          <w:tcPr>
            <w:tcW w:type="dxa" w:w="17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E020000">
            <w:pPr>
              <w:pStyle w:val="Style_14"/>
              <w:ind w:firstLine="0" w:left="-108" w:right="-108"/>
              <w:jc w:val="center"/>
            </w:pPr>
            <w:r>
              <w:t>450</w:t>
            </w:r>
          </w:p>
        </w:tc>
      </w:tr>
      <w:tr>
        <w:tc>
          <w:tcPr>
            <w:tcW w:type="dxa" w:w="16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1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3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F020000">
            <w:pPr>
              <w:pStyle w:val="Style_14"/>
              <w:ind/>
              <w:jc w:val="center"/>
            </w:pPr>
            <w:r>
              <w:t>от 10 до 40 га</w:t>
            </w:r>
          </w:p>
        </w:tc>
        <w:tc>
          <w:tcPr>
            <w:tcW w:type="dxa" w:w="1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0020000">
            <w:pPr>
              <w:pStyle w:val="Style_14"/>
              <w:ind w:firstLine="0" w:left="-108" w:right="-108"/>
              <w:jc w:val="center"/>
            </w:pPr>
            <w:r>
              <w:t>160</w:t>
            </w:r>
          </w:p>
        </w:tc>
        <w:tc>
          <w:tcPr>
            <w:tcW w:type="dxa" w:w="10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1020000">
            <w:pPr>
              <w:pStyle w:val="Style_14"/>
              <w:ind w:firstLine="0" w:left="-108" w:right="-108"/>
              <w:jc w:val="center"/>
            </w:pPr>
            <w:r>
              <w:t>260</w:t>
            </w:r>
          </w:p>
        </w:tc>
        <w:tc>
          <w:tcPr>
            <w:tcW w:type="dxa" w:w="17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2020000">
            <w:pPr>
              <w:pStyle w:val="Style_14"/>
              <w:ind w:firstLine="0" w:left="-108" w:right="-108"/>
              <w:jc w:val="center"/>
            </w:pPr>
            <w:r>
              <w:t>320</w:t>
            </w:r>
          </w:p>
        </w:tc>
      </w:tr>
      <w:tr>
        <w:tc>
          <w:tcPr>
            <w:tcW w:type="dxa" w:w="16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1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3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3020000">
            <w:pPr>
              <w:pStyle w:val="Style_14"/>
              <w:ind/>
              <w:jc w:val="center"/>
            </w:pPr>
            <w:r>
              <w:t>от 40 до 80 га</w:t>
            </w:r>
          </w:p>
        </w:tc>
        <w:tc>
          <w:tcPr>
            <w:tcW w:type="dxa" w:w="1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4020000">
            <w:pPr>
              <w:pStyle w:val="Style_14"/>
              <w:ind w:firstLine="0" w:left="-108" w:right="-108"/>
              <w:jc w:val="center"/>
            </w:pPr>
            <w:r>
              <w:t>110</w:t>
            </w:r>
          </w:p>
        </w:tc>
        <w:tc>
          <w:tcPr>
            <w:tcW w:type="dxa" w:w="10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5020000">
            <w:pPr>
              <w:pStyle w:val="Style_14"/>
              <w:ind w:firstLine="0" w:left="-108" w:right="-108"/>
              <w:jc w:val="center"/>
            </w:pPr>
            <w:r>
              <w:t>180</w:t>
            </w:r>
          </w:p>
        </w:tc>
        <w:tc>
          <w:tcPr>
            <w:tcW w:type="dxa" w:w="17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6020000">
            <w:pPr>
              <w:pStyle w:val="Style_14"/>
              <w:ind w:firstLine="0" w:left="-108" w:right="-108"/>
              <w:jc w:val="center"/>
            </w:pPr>
            <w:r>
              <w:t>220</w:t>
            </w:r>
          </w:p>
        </w:tc>
      </w:tr>
      <w:tr>
        <w:tc>
          <w:tcPr>
            <w:tcW w:type="dxa" w:w="16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1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3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7020000">
            <w:pPr>
              <w:pStyle w:val="Style_14"/>
              <w:ind/>
              <w:jc w:val="center"/>
            </w:pPr>
            <w:r>
              <w:t>более 80 га</w:t>
            </w:r>
          </w:p>
        </w:tc>
        <w:tc>
          <w:tcPr>
            <w:tcW w:type="dxa" w:w="13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8020000">
            <w:pPr>
              <w:pStyle w:val="Style_14"/>
              <w:ind w:firstLine="0" w:left="-108" w:right="-108"/>
              <w:jc w:val="center"/>
            </w:pPr>
            <w:r>
              <w:t>105</w:t>
            </w:r>
          </w:p>
        </w:tc>
        <w:tc>
          <w:tcPr>
            <w:tcW w:type="dxa" w:w="10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9020000">
            <w:pPr>
              <w:pStyle w:val="Style_14"/>
              <w:ind w:firstLine="0" w:left="-108" w:right="-108"/>
              <w:jc w:val="center"/>
            </w:pPr>
            <w:r>
              <w:t>165</w:t>
            </w:r>
          </w:p>
        </w:tc>
        <w:tc>
          <w:tcPr>
            <w:tcW w:type="dxa" w:w="17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20000">
            <w:pPr>
              <w:pStyle w:val="Style_14"/>
              <w:ind w:firstLine="0" w:left="-108" w:right="-108"/>
              <w:jc w:val="center"/>
            </w:pPr>
            <w:r>
              <w:t>170</w:t>
            </w:r>
          </w:p>
        </w:tc>
      </w:tr>
      <w:tr>
        <w:tc>
          <w:tcPr>
            <w:tcW w:type="dxa" w:w="9344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B020000">
            <w:pPr>
              <w:rPr>
                <w:sz w:val="20"/>
              </w:rPr>
            </w:pPr>
            <w:bookmarkStart w:id="11" w:name="Par67"/>
            <w:bookmarkEnd w:id="11"/>
            <w:r>
              <w:rPr>
                <w:sz w:val="20"/>
              </w:rPr>
              <w:t>Примечания</w:t>
            </w:r>
            <w:r>
              <w:rPr>
                <w:sz w:val="20"/>
              </w:rPr>
              <w:t>:</w:t>
            </w:r>
          </w:p>
          <w:p w14:paraId="3C020000">
            <w:pPr>
              <w:numPr>
                <w:ilvl w:val="0"/>
                <w:numId w:val="4"/>
              </w:numPr>
              <w:tabs>
                <w:tab w:leader="none" w:pos="284" w:val="left"/>
              </w:tabs>
              <w:ind w:firstLine="0" w:left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 Расчетная плотность населения выражена в виде максимальной численности населения, приходящейся на единицу территории в целях соблюдения требований по обеспеченности населения объектами социальной, транспортной и коммунальной инфраструктур, объектами благоустройства, требований противопожарной защиты, санитарно-эпидемиологических требований, обеспечивающих благоприятные условия жизнедеятельности.</w:t>
            </w:r>
          </w:p>
          <w:p w14:paraId="3D020000">
            <w:pPr>
              <w:numPr>
                <w:ilvl w:val="0"/>
                <w:numId w:val="4"/>
              </w:numPr>
              <w:tabs>
                <w:tab w:leader="none" w:pos="284" w:val="left"/>
              </w:tabs>
              <w:ind w:firstLine="0" w:left="0"/>
              <w:jc w:val="both"/>
              <w:rPr>
                <w:sz w:val="20"/>
              </w:rPr>
            </w:pPr>
            <w:r>
              <w:rPr>
                <w:sz w:val="20"/>
              </w:rPr>
              <w:t>Плотность населения в границах элемента планировочной структуры застроенной части населенного пункта, в которой предполагается жилищное строительство, не должна превышать установленные показатели расчетной плотности населения.</w:t>
            </w:r>
          </w:p>
        </w:tc>
      </w:tr>
    </w:tbl>
    <w:p w14:paraId="3E020000"/>
    <w:p w14:paraId="3F020000">
      <w:bookmarkStart w:id="12" w:name="__RefHeading___11"/>
      <w:bookmarkEnd w:id="12"/>
      <w:pPr>
        <w:pStyle w:val="Style_6"/>
        <w:numPr>
          <w:ilvl w:val="0"/>
          <w:numId w:val="1"/>
        </w:numPr>
        <w:tabs>
          <w:tab w:leader="none" w:pos="1134" w:val="left"/>
        </w:tabs>
        <w:spacing w:after="0" w:before="0"/>
        <w:ind w:firstLine="851" w:left="0"/>
        <w:jc w:val="both"/>
        <w:rPr>
          <w:sz w:val="26"/>
        </w:rPr>
      </w:pPr>
      <w:r>
        <w:rPr>
          <w:sz w:val="26"/>
        </w:rPr>
        <w:t>МАТЕРИАЛЫ ПО ОБОСНОВАНИЮ</w:t>
      </w:r>
      <w:r>
        <w:rPr>
          <w:sz w:val="26"/>
        </w:rPr>
        <w:t xml:space="preserve"> </w:t>
      </w:r>
      <w:r>
        <w:rPr>
          <w:sz w:val="26"/>
        </w:rPr>
        <w:t>РАСЧЕТНЫХ ПОКАЗАТЕЛЕЙ</w:t>
      </w:r>
      <w:r>
        <w:rPr>
          <w:sz w:val="26"/>
        </w:rPr>
        <w:t xml:space="preserve">, </w:t>
      </w:r>
      <w:r>
        <w:rPr>
          <w:sz w:val="24"/>
        </w:rPr>
        <w:t>СОДЕРЖАЩИХСЯ В</w:t>
      </w:r>
      <w:r>
        <w:rPr>
          <w:sz w:val="24"/>
        </w:rPr>
        <w:t xml:space="preserve"> </w:t>
      </w:r>
      <w:r>
        <w:rPr>
          <w:sz w:val="24"/>
        </w:rPr>
        <w:t>ОСНОВОЙ ЧАСТИ местных НОРМАТИВОВ ГРАДОСТРОИТЕЛЬНОГО ПРОЕКТИРОВАНИЯ</w:t>
      </w:r>
    </w:p>
    <w:p w14:paraId="40020000">
      <w:bookmarkStart w:id="13" w:name="__RefHeading___12"/>
      <w:bookmarkEnd w:id="13"/>
      <w:pPr>
        <w:pStyle w:val="Style_7"/>
        <w:tabs>
          <w:tab w:leader="none" w:pos="1276" w:val="clear"/>
        </w:tabs>
        <w:spacing w:after="0" w:before="120"/>
        <w:ind w:firstLine="851" w:left="0"/>
        <w:jc w:val="both"/>
        <w:rPr>
          <w:sz w:val="26"/>
        </w:rPr>
      </w:pPr>
      <w:r>
        <w:rPr>
          <w:sz w:val="26"/>
        </w:rPr>
        <w:t xml:space="preserve">2.1 </w:t>
      </w:r>
      <w:r>
        <w:rPr>
          <w:sz w:val="26"/>
        </w:rPr>
        <w:t>Результаты анализа административно-территориального устройства, природно-климатических и социально-экономических условий развития, влияющих на установление расчетных показателей</w:t>
      </w:r>
    </w:p>
    <w:p w14:paraId="41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r>
        <w:rPr>
          <w:sz w:val="24"/>
        </w:rPr>
        <w:t>2.1.1 Административно-территориальное устройство</w:t>
      </w:r>
    </w:p>
    <w:p w14:paraId="42020000">
      <w:pPr>
        <w:pStyle w:val="Style_8"/>
        <w:spacing w:after="0" w:before="0"/>
        <w:ind w:firstLine="709" w:left="0"/>
      </w:pPr>
      <w:r>
        <w:t xml:space="preserve">В соответствии </w:t>
      </w:r>
      <w:r>
        <w:t xml:space="preserve">с </w:t>
      </w:r>
      <w:r>
        <w:t xml:space="preserve">Законом </w:t>
      </w:r>
      <w:r>
        <w:t xml:space="preserve">Омской области от 15.10.2003 № 467-ОЗ </w:t>
      </w:r>
      <w:r>
        <w:t>«</w:t>
      </w:r>
      <w:r>
        <w:t>Об</w:t>
      </w:r>
      <w:r>
        <w:t> </w:t>
      </w:r>
      <w:r>
        <w:t>административно-территориальном устройстве Омской области и порядке его изменения</w:t>
      </w:r>
      <w:r>
        <w:t>»</w:t>
      </w:r>
      <w:r>
        <w:t xml:space="preserve"> </w:t>
      </w:r>
      <w:r>
        <w:t>Полтавский</w:t>
      </w:r>
      <w:r>
        <w:t xml:space="preserve"> </w:t>
      </w:r>
      <w:r>
        <w:t xml:space="preserve">муниципальный </w:t>
      </w:r>
      <w:r>
        <w:t>район</w:t>
      </w:r>
      <w:r>
        <w:t xml:space="preserve"> </w:t>
      </w:r>
      <w:r>
        <w:t>относ</w:t>
      </w:r>
      <w:r>
        <w:t>и</w:t>
      </w:r>
      <w:r>
        <w:t>тся к административно-территориальн</w:t>
      </w:r>
      <w:r>
        <w:t>ым образованиям Омской области.</w:t>
      </w:r>
    </w:p>
    <w:p w14:paraId="43020000">
      <w:pPr>
        <w:pStyle w:val="Style_8"/>
        <w:spacing w:after="0" w:before="0"/>
        <w:ind w:firstLine="709" w:left="0"/>
      </w:pPr>
      <w:r>
        <w:t>В р</w:t>
      </w:r>
      <w:r>
        <w:t>амках муниципального устройства</w:t>
      </w:r>
      <w:r>
        <w:t xml:space="preserve"> в границах </w:t>
      </w:r>
      <w:r>
        <w:t>Полтавского</w:t>
      </w:r>
      <w:r>
        <w:t xml:space="preserve"> муниципального</w:t>
      </w:r>
      <w:r>
        <w:t xml:space="preserve"> района </w:t>
      </w:r>
      <w:r>
        <w:t xml:space="preserve">Законом </w:t>
      </w:r>
      <w:r>
        <w:t xml:space="preserve">Омской области от 30.07.2004 № 548-ОЗ </w:t>
      </w:r>
      <w:r>
        <w:t>«</w:t>
      </w:r>
      <w:r>
        <w:t>О границах и статусе муниципальных образований Омской области</w:t>
      </w:r>
      <w:r>
        <w:t>»</w:t>
      </w:r>
      <w:r>
        <w:t xml:space="preserve"> </w:t>
      </w:r>
      <w:r>
        <w:t xml:space="preserve">образовано </w:t>
      </w:r>
      <w:r>
        <w:t>1 городское и 8</w:t>
      </w:r>
      <w:r>
        <w:t xml:space="preserve"> сельских поселений, которые в свою очередь объединяют </w:t>
      </w:r>
      <w:r>
        <w:t>44</w:t>
      </w:r>
      <w:r>
        <w:t xml:space="preserve"> населенных пунктов.</w:t>
      </w:r>
    </w:p>
    <w:p w14:paraId="44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bookmarkStart w:id="14" w:name="_Ref6314944"/>
      <w:r>
        <w:rPr>
          <w:sz w:val="24"/>
        </w:rPr>
        <w:t>2.</w:t>
      </w:r>
      <w:r>
        <w:rPr>
          <w:sz w:val="24"/>
        </w:rPr>
        <w:t>1.</w:t>
      </w:r>
      <w:r>
        <w:rPr>
          <w:sz w:val="24"/>
        </w:rPr>
        <w:t>2 Система расселения</w:t>
      </w:r>
      <w:bookmarkEnd w:id="14"/>
    </w:p>
    <w:p w14:paraId="45020000">
      <w:pPr>
        <w:pStyle w:val="Style_8"/>
        <w:spacing w:after="0" w:before="0"/>
        <w:ind w:firstLine="709" w:left="0"/>
      </w:pPr>
      <w:bookmarkStart w:id="15" w:name="_Ref38968244"/>
      <w:r>
        <w:t xml:space="preserve">В муниципальном районе выделено </w:t>
      </w:r>
      <w:r>
        <w:t>10</w:t>
      </w:r>
      <w:r>
        <w:t xml:space="preserve"> групповых систем расселения</w:t>
      </w:r>
      <w:r>
        <w:t>.</w:t>
      </w:r>
      <w:bookmarkEnd w:id="15"/>
      <w:r>
        <w:br/>
      </w:r>
      <w:r>
        <w:t>Схема расселения</w:t>
      </w:r>
      <w:r>
        <w:t xml:space="preserve"> и характеристика групповых систем расселения</w:t>
      </w:r>
      <w:r>
        <w:t xml:space="preserve"> </w:t>
      </w:r>
      <w:r>
        <w:t>Полтавского</w:t>
      </w:r>
      <w:r>
        <w:t xml:space="preserve"> </w:t>
      </w:r>
      <w:r>
        <w:t>муниципального</w:t>
      </w:r>
      <w:r>
        <w:t xml:space="preserve"> района приведен</w:t>
      </w:r>
      <w:r>
        <w:t>ы</w:t>
      </w:r>
      <w:r>
        <w:t xml:space="preserve"> в Приложении </w:t>
      </w:r>
      <w:r>
        <w:t>Б.</w:t>
      </w:r>
    </w:p>
    <w:p w14:paraId="46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r>
        <w:rPr>
          <w:sz w:val="24"/>
        </w:rPr>
        <w:t>2.</w:t>
      </w:r>
      <w:r>
        <w:rPr>
          <w:sz w:val="24"/>
        </w:rPr>
        <w:t>1.</w:t>
      </w:r>
      <w:r>
        <w:rPr>
          <w:sz w:val="24"/>
        </w:rPr>
        <w:t>3</w:t>
      </w:r>
      <w:r>
        <w:rPr>
          <w:sz w:val="24"/>
        </w:rPr>
        <w:t xml:space="preserve"> Природно-климатические условия</w:t>
      </w:r>
    </w:p>
    <w:p w14:paraId="47020000">
      <w:pPr>
        <w:ind w:firstLine="709" w:left="0"/>
        <w:jc w:val="both"/>
      </w:pPr>
      <w:r>
        <w:t xml:space="preserve">Территория </w:t>
      </w:r>
      <w:r>
        <w:t xml:space="preserve">Полтавского </w:t>
      </w:r>
      <w:r>
        <w:t>муниципального района</w:t>
      </w:r>
      <w:r>
        <w:t xml:space="preserve"> согласно СП 131.13330.2020 «СНиП 23-01-99* Строительная климатология» относится к I климатическому району, подрайону – IВ, расположена в </w:t>
      </w:r>
      <w:r>
        <w:t>степной</w:t>
      </w:r>
      <w:r>
        <w:t xml:space="preserve"> и лесостепной зонах. </w:t>
      </w:r>
    </w:p>
    <w:p w14:paraId="48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r>
        <w:rPr>
          <w:sz w:val="24"/>
        </w:rPr>
        <w:t>2.1.4 Социально-демографический состав и плотность населения</w:t>
      </w:r>
    </w:p>
    <w:p w14:paraId="49020000">
      <w:pPr>
        <w:pStyle w:val="Style_8"/>
        <w:spacing w:after="0" w:before="0"/>
        <w:ind w:firstLine="709" w:left="0"/>
      </w:pPr>
      <w:r>
        <w:t xml:space="preserve">Численность постоянного населения </w:t>
      </w:r>
      <w:r>
        <w:t>Полтавского</w:t>
      </w:r>
      <w:r>
        <w:t xml:space="preserve"> муниципального района на 01.01.202</w:t>
      </w:r>
      <w:r>
        <w:t>2</w:t>
      </w:r>
      <w:r>
        <w:t xml:space="preserve"> составила </w:t>
      </w:r>
      <w:r>
        <w:t>21805</w:t>
      </w:r>
      <w:r>
        <w:t xml:space="preserve"> </w:t>
      </w:r>
      <w:r>
        <w:t xml:space="preserve">тыс. человек. </w:t>
      </w:r>
      <w:r>
        <w:t>На долю город</w:t>
      </w:r>
      <w:r>
        <w:t>ского населения приходится до 35,5</w:t>
      </w:r>
      <w:r>
        <w:t>% от общей численности населения муниципального района (Таблица 7).</w:t>
      </w:r>
    </w:p>
    <w:p w14:paraId="4A020000">
      <w:pPr>
        <w:pStyle w:val="Style_10"/>
        <w:spacing w:after="0"/>
        <w:ind/>
        <w:jc w:val="both"/>
      </w:pPr>
      <w:bookmarkStart w:id="16" w:name="_Ref86146927"/>
    </w:p>
    <w:p w14:paraId="4B020000">
      <w:pPr>
        <w:pStyle w:val="Style_10"/>
        <w:spacing w:after="0"/>
        <w:ind/>
        <w:jc w:val="both"/>
      </w:pPr>
    </w:p>
    <w:p w14:paraId="4C020000">
      <w:pPr>
        <w:pStyle w:val="Style_10"/>
        <w:spacing w:after="0"/>
        <w:ind/>
        <w:jc w:val="both"/>
      </w:pPr>
    </w:p>
    <w:p w14:paraId="4D020000">
      <w:pPr>
        <w:pStyle w:val="Style_10"/>
        <w:spacing w:after="0"/>
        <w:ind/>
        <w:jc w:val="both"/>
      </w:pPr>
    </w:p>
    <w:p w14:paraId="4E020000">
      <w:pPr>
        <w:pStyle w:val="Style_10"/>
        <w:spacing w:after="0"/>
        <w:ind/>
        <w:jc w:val="both"/>
      </w:pPr>
      <w:r>
        <w:t xml:space="preserve">Таблица </w:t>
      </w:r>
      <w:r>
        <w:t>7</w:t>
      </w:r>
      <w:bookmarkEnd w:id="16"/>
      <w:r>
        <w:t xml:space="preserve"> – Численнос</w:t>
      </w:r>
      <w:r>
        <w:t xml:space="preserve">ть постоянного населения </w:t>
      </w:r>
      <w:r>
        <w:t>Полтавского</w:t>
      </w:r>
      <w:r>
        <w:t xml:space="preserve"> </w:t>
      </w:r>
      <w:r>
        <w:t>муниципального р</w:t>
      </w:r>
      <w:r>
        <w:t>айона по состоянию на 01.01.2022</w:t>
      </w:r>
    </w:p>
    <w:tbl>
      <w:tblPr>
        <w:tblStyle w:val="Style_11"/>
        <w:tblInd w:type="dxa" w:w="85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4318"/>
        <w:gridCol w:w="2367"/>
        <w:gridCol w:w="1251"/>
        <w:gridCol w:w="1251"/>
      </w:tblGrid>
      <w:tr>
        <w:trPr>
          <w:trHeight w:hRule="atLeast" w:val="20"/>
          <w:tblHeader/>
        </w:trPr>
        <w:tc>
          <w:tcPr>
            <w:tcW w:type="dxa" w:w="431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4F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Наименование поселения</w:t>
            </w:r>
          </w:p>
        </w:tc>
        <w:tc>
          <w:tcPr>
            <w:tcW w:type="dxa" w:w="23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0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Общая численн</w:t>
            </w:r>
            <w:r>
              <w:rPr>
                <w:b w:val="1"/>
                <w:sz w:val="20"/>
              </w:rPr>
              <w:t>ость постоянного населения, человек</w:t>
            </w:r>
          </w:p>
        </w:tc>
        <w:tc>
          <w:tcPr>
            <w:tcW w:type="dxa" w:w="250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51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в том числе:</w:t>
            </w:r>
          </w:p>
        </w:tc>
      </w:tr>
      <w:tr>
        <w:trPr>
          <w:trHeight w:hRule="atLeast" w:val="20"/>
          <w:tblHeader/>
        </w:trPr>
        <w:tc>
          <w:tcPr>
            <w:tcW w:type="dxa" w:w="431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/>
        </w:tc>
        <w:tc>
          <w:tcPr>
            <w:tcW w:type="dxa" w:w="23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/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2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городское населени</w:t>
            </w:r>
            <w:r>
              <w:rPr>
                <w:b w:val="1"/>
                <w:sz w:val="20"/>
              </w:rPr>
              <w:t>е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3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сельское население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54020000">
            <w:pPr>
              <w:rPr>
                <w:sz w:val="20"/>
              </w:rPr>
            </w:pPr>
            <w:r>
              <w:rPr>
                <w:sz w:val="20"/>
              </w:rPr>
              <w:t>Полтавское городское поселение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7744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7691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53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58020000">
            <w:pPr>
              <w:rPr>
                <w:sz w:val="20"/>
              </w:rPr>
            </w:pPr>
            <w:r>
              <w:rPr>
                <w:sz w:val="20"/>
              </w:rPr>
              <w:t>Вольновское</w:t>
            </w:r>
            <w:r>
              <w:rPr>
                <w:sz w:val="20"/>
              </w:rPr>
              <w:t xml:space="preserve"> сельское поселение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9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2066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2066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5C020000">
            <w:pPr>
              <w:rPr>
                <w:sz w:val="20"/>
              </w:rPr>
            </w:pPr>
            <w:r>
              <w:rPr>
                <w:sz w:val="20"/>
              </w:rPr>
              <w:t>Воронцовское</w:t>
            </w:r>
            <w:r>
              <w:rPr>
                <w:sz w:val="20"/>
              </w:rPr>
              <w:t xml:space="preserve"> сельское поселение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1611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5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1611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60020000">
            <w:pPr>
              <w:rPr>
                <w:sz w:val="20"/>
              </w:rPr>
            </w:pPr>
            <w:r>
              <w:rPr>
                <w:sz w:val="20"/>
              </w:rPr>
              <w:t>Еремеевское</w:t>
            </w:r>
            <w:r>
              <w:rPr>
                <w:sz w:val="20"/>
              </w:rPr>
              <w:t xml:space="preserve"> сельское поселение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1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1976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1976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64020000">
            <w:pPr>
              <w:rPr>
                <w:sz w:val="20"/>
              </w:rPr>
            </w:pPr>
            <w:r>
              <w:rPr>
                <w:sz w:val="20"/>
              </w:rPr>
              <w:t>Ворошиловское</w:t>
            </w:r>
            <w:r>
              <w:rPr>
                <w:sz w:val="20"/>
              </w:rPr>
              <w:t xml:space="preserve"> сельское поселение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68020000">
            <w:pPr>
              <w:rPr>
                <w:sz w:val="20"/>
              </w:rPr>
            </w:pPr>
            <w:r>
              <w:rPr>
                <w:sz w:val="20"/>
              </w:rPr>
              <w:t>Красногорское</w:t>
            </w:r>
            <w:r>
              <w:rPr>
                <w:sz w:val="20"/>
              </w:rPr>
              <w:t xml:space="preserve"> сельское поселение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9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1302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A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B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1302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6C020000">
            <w:pPr>
              <w:rPr>
                <w:sz w:val="20"/>
              </w:rPr>
            </w:pPr>
            <w:r>
              <w:rPr>
                <w:sz w:val="20"/>
              </w:rPr>
              <w:t>Новоильиновское</w:t>
            </w:r>
            <w:r>
              <w:rPr>
                <w:sz w:val="20"/>
              </w:rPr>
              <w:t xml:space="preserve"> сельское поселение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D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1376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E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6F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1376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70020000">
            <w:pPr>
              <w:rPr>
                <w:sz w:val="20"/>
              </w:rPr>
            </w:pPr>
            <w:r>
              <w:rPr>
                <w:sz w:val="20"/>
              </w:rPr>
              <w:t>Ольгинское</w:t>
            </w:r>
            <w:r>
              <w:rPr>
                <w:sz w:val="20"/>
              </w:rPr>
              <w:t xml:space="preserve"> сельское поселение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71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2131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72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73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2131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74020000">
            <w:pPr>
              <w:rPr>
                <w:sz w:val="20"/>
              </w:rPr>
            </w:pPr>
            <w:r>
              <w:rPr>
                <w:sz w:val="20"/>
              </w:rPr>
              <w:t>Соловьевское</w:t>
            </w:r>
            <w:r>
              <w:rPr>
                <w:sz w:val="20"/>
              </w:rPr>
              <w:t xml:space="preserve"> сельское поселение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75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1574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76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7702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1574</w:t>
            </w:r>
          </w:p>
        </w:tc>
      </w:tr>
      <w:tr>
        <w:trPr>
          <w:trHeight w:hRule="atLeast" w:val="20"/>
        </w:trPr>
        <w:tc>
          <w:tcPr>
            <w:tcW w:type="dxa" w:w="43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bottom"/>
          </w:tcPr>
          <w:p w14:paraId="78020000">
            <w:pPr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Итого</w:t>
            </w:r>
          </w:p>
        </w:tc>
        <w:tc>
          <w:tcPr>
            <w:tcW w:type="dxa" w:w="23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79020000">
            <w:pPr>
              <w:ind/>
              <w:jc w:val="center"/>
              <w:rPr>
                <w:b w:val="1"/>
                <w:sz w:val="20"/>
              </w:rPr>
            </w:pPr>
            <w:bookmarkStart w:id="17" w:name="_GoBack"/>
            <w:bookmarkEnd w:id="17"/>
            <w:r>
              <w:rPr>
                <w:b w:val="1"/>
                <w:sz w:val="20"/>
              </w:rPr>
              <w:t>21805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7A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7691</w:t>
            </w:r>
          </w:p>
        </w:tc>
        <w:tc>
          <w:tcPr>
            <w:tcW w:type="dxa" w:w="12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28"/>
              <w:left w:type="dxa" w:w="85"/>
              <w:bottom w:type="dxa" w:w="28"/>
              <w:right w:type="dxa" w:w="85"/>
            </w:tcMar>
            <w:vAlign w:val="center"/>
          </w:tcPr>
          <w:p w14:paraId="7B020000">
            <w:pPr>
              <w:ind/>
              <w:jc w:val="center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14114</w:t>
            </w:r>
          </w:p>
        </w:tc>
      </w:tr>
    </w:tbl>
    <w:p w14:paraId="7C020000">
      <w:pPr>
        <w:pStyle w:val="Style_8"/>
        <w:spacing w:after="0" w:before="0"/>
        <w:ind w:firstLine="709" w:left="0"/>
        <w:rPr>
          <w:highlight w:val="yellow"/>
        </w:rPr>
      </w:pPr>
    </w:p>
    <w:p w14:paraId="7D020000">
      <w:pPr>
        <w:pStyle w:val="Style_8"/>
        <w:spacing w:after="0" w:before="0"/>
        <w:ind w:firstLine="709" w:left="0"/>
      </w:pPr>
      <w:r>
        <w:t>В</w:t>
      </w:r>
      <w:r>
        <w:t xml:space="preserve"> состав Полтавского городского поселения входят 2 населенных пункта - р.п. Полтавка, д. Малахово.</w:t>
      </w:r>
      <w:r>
        <w:t xml:space="preserve"> </w:t>
      </w:r>
    </w:p>
    <w:p w14:paraId="7E020000">
      <w:pPr>
        <w:pStyle w:val="Style_8"/>
        <w:spacing w:after="0" w:before="0"/>
        <w:ind w:firstLine="709" w:left="0"/>
        <w:rPr>
          <w:highlight w:val="yellow"/>
        </w:rPr>
      </w:pPr>
      <w:r>
        <w:t>Из общего количества сельских населенных пунктов (</w:t>
      </w:r>
      <w:r>
        <w:t>5</w:t>
      </w:r>
      <w:r>
        <w:t xml:space="preserve"> </w:t>
      </w:r>
      <w:r>
        <w:t>сельских населенных пунктов</w:t>
      </w:r>
      <w:r>
        <w:t>)</w:t>
      </w:r>
      <w:r>
        <w:t xml:space="preserve"> </w:t>
      </w:r>
      <w:r>
        <w:t xml:space="preserve">на долю населенных пунктов с численностью населения от 1 до 2 тыс. человек в муниципальном районе приходится </w:t>
      </w:r>
      <w:r>
        <w:t>2</w:t>
      </w:r>
      <w:r>
        <w:t>7</w:t>
      </w:r>
      <w:r>
        <w:t xml:space="preserve">%. Это </w:t>
      </w:r>
      <w:r>
        <w:t>5</w:t>
      </w:r>
      <w:r>
        <w:t xml:space="preserve"> </w:t>
      </w:r>
      <w:r>
        <w:t>населенных пунктов</w:t>
      </w:r>
      <w:r>
        <w:t>:</w:t>
      </w:r>
      <w:r>
        <w:t xml:space="preserve"> с. Вольное</w:t>
      </w:r>
      <w:r>
        <w:t xml:space="preserve">, с. </w:t>
      </w:r>
      <w:r>
        <w:t>Еремеевка</w:t>
      </w:r>
      <w:r>
        <w:t>,</w:t>
      </w:r>
      <w:r>
        <w:t xml:space="preserve"> с. Новоильиновка, с. Соловьевка, с. Ольгино</w:t>
      </w:r>
      <w:r>
        <w:t xml:space="preserve">. На долю населенных пунктов с </w:t>
      </w:r>
      <w:r>
        <w:t xml:space="preserve">численностью населения от 500 до 1 тыс. человек – </w:t>
      </w:r>
      <w:r>
        <w:t>10</w:t>
      </w:r>
      <w:r>
        <w:t>%</w:t>
      </w:r>
      <w:r>
        <w:t>.</w:t>
      </w:r>
      <w:r>
        <w:t xml:space="preserve"> </w:t>
      </w:r>
      <w:r>
        <w:t xml:space="preserve">Это </w:t>
      </w:r>
      <w:r>
        <w:t>3</w:t>
      </w:r>
      <w:r>
        <w:t xml:space="preserve"> </w:t>
      </w:r>
      <w:r>
        <w:t>населенных пункта</w:t>
      </w:r>
      <w:r>
        <w:t xml:space="preserve">: с. </w:t>
      </w:r>
      <w:r>
        <w:t>Воронцовка</w:t>
      </w:r>
      <w:r>
        <w:t xml:space="preserve">, с. </w:t>
      </w:r>
      <w:r>
        <w:t>Красногорка, п. Бельдеж №3 (Ворошилово)</w:t>
      </w:r>
      <w:r>
        <w:t xml:space="preserve">. </w:t>
      </w:r>
      <w:r>
        <w:t xml:space="preserve">На долю населенных пунктов с численностью населения свыше 2 тыс. человек – </w:t>
      </w:r>
      <w:r>
        <w:t>35</w:t>
      </w:r>
      <w:r>
        <w:t>%</w:t>
      </w:r>
      <w:r>
        <w:t>.</w:t>
      </w:r>
      <w:r>
        <w:t xml:space="preserve"> Это 1</w:t>
      </w:r>
      <w:r>
        <w:t xml:space="preserve"> </w:t>
      </w:r>
      <w:r>
        <w:t>городское поселение</w:t>
      </w:r>
      <w:r>
        <w:t xml:space="preserve">: </w:t>
      </w:r>
      <w:r>
        <w:t>р.п. Полтавка</w:t>
      </w:r>
      <w:r>
        <w:t>.</w:t>
      </w:r>
      <w:r>
        <w:t xml:space="preserve"> </w:t>
      </w:r>
      <w:r>
        <w:t xml:space="preserve">На долю населенных пунктов с численностью населения до 300 человек – </w:t>
      </w:r>
      <w:r>
        <w:t>20</w:t>
      </w:r>
      <w:r>
        <w:t xml:space="preserve">%. Это </w:t>
      </w:r>
      <w:r>
        <w:t>23</w:t>
      </w:r>
      <w:r>
        <w:t xml:space="preserve"> </w:t>
      </w:r>
      <w:r>
        <w:t>населенных пункта</w:t>
      </w:r>
      <w:r>
        <w:t xml:space="preserve">: д. </w:t>
      </w:r>
      <w:r>
        <w:t xml:space="preserve">Бежевка, д. Длинное, д. Добрянка, </w:t>
      </w:r>
      <w:r>
        <w:t xml:space="preserve">д. Бородинка, </w:t>
      </w:r>
      <w:r>
        <w:t>д. Новотимофеевка, д. Щегловка, д. Святогорск</w:t>
      </w:r>
      <w:r>
        <w:t xml:space="preserve">, с. </w:t>
      </w:r>
      <w:r>
        <w:t>Никоновка, д. Каменка, с. Гостиловка</w:t>
      </w:r>
      <w:r>
        <w:t xml:space="preserve">, </w:t>
      </w:r>
      <w:r>
        <w:t>д. Смелое, д. Лубянск, д. Ольвиополь, с. Платово, д. Хмаровка</w:t>
      </w:r>
      <w:r>
        <w:t>,</w:t>
      </w:r>
      <w:r>
        <w:t xml:space="preserve"> д. Никополь, д. Андрюшевка, д. Крым, д. Новосергеевка, д. Черноморка, п. Бельдеж №7, д. Краснопутиловка, с. Шахово</w:t>
      </w:r>
      <w:r>
        <w:t>.</w:t>
      </w:r>
      <w:r>
        <w:t xml:space="preserve"> </w:t>
      </w:r>
      <w:r>
        <w:t>Д</w:t>
      </w:r>
      <w:r>
        <w:t>. Новоколомзино</w:t>
      </w:r>
      <w:r>
        <w:t xml:space="preserve"> -  0%. </w:t>
      </w:r>
      <w:r>
        <w:t>На долю населенных пунктов с численностью населения до 100 человек приходится</w:t>
      </w:r>
      <w:r>
        <w:t xml:space="preserve"> </w:t>
      </w:r>
      <w:r>
        <w:t>1</w:t>
      </w:r>
      <w:r>
        <w:t>%- 7</w:t>
      </w:r>
      <w:r>
        <w:t xml:space="preserve"> это населенных пунктов.</w:t>
      </w:r>
      <w:r>
        <w:t xml:space="preserve"> На долю населенных пунктов с численностью населения от 300 до 500 человек приходится </w:t>
      </w:r>
      <w:r>
        <w:t>8</w:t>
      </w:r>
      <w:r>
        <w:t>%- 5 это населенных пунктов: д. Добрянка, д. Коконовка, п. Бельдеж №12, д. Терпенье, с. Георгиевка.</w:t>
      </w:r>
    </w:p>
    <w:p w14:paraId="7F020000">
      <w:pPr>
        <w:pStyle w:val="Style_8"/>
        <w:spacing w:after="0" w:before="0"/>
        <w:ind w:firstLine="709" w:left="0"/>
      </w:pPr>
      <w:r>
        <w:t>В соответствии со Схемой территориального планирования Омской области на период до 2040 года прогнозируется сокращение общей численности постоянного населения муниципального района.</w:t>
      </w:r>
    </w:p>
    <w:p w14:paraId="80020000">
      <w:bookmarkStart w:id="18" w:name="__RefHeading___13"/>
      <w:bookmarkEnd w:id="18"/>
      <w:pPr>
        <w:pStyle w:val="Style_7"/>
        <w:tabs>
          <w:tab w:leader="none" w:pos="1276" w:val="clear"/>
        </w:tabs>
        <w:spacing w:after="0" w:before="120"/>
        <w:ind w:firstLine="851" w:left="0"/>
        <w:jc w:val="both"/>
        <w:rPr>
          <w:sz w:val="26"/>
        </w:rPr>
      </w:pPr>
      <w:r>
        <w:rPr>
          <w:sz w:val="26"/>
        </w:rPr>
        <w:t xml:space="preserve">2.2 </w:t>
      </w:r>
      <w:r>
        <w:rPr>
          <w:sz w:val="26"/>
        </w:rPr>
        <w:t>Обоснование расчетных показателей</w:t>
      </w:r>
      <w:r>
        <w:rPr>
          <w:sz w:val="26"/>
        </w:rPr>
        <w:t>, содержащихся в основной части местных нормативов градостроительного проектирования</w:t>
      </w:r>
    </w:p>
    <w:p w14:paraId="81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r>
        <w:rPr>
          <w:sz w:val="24"/>
        </w:rPr>
        <w:t>2.2.1. В области электро-, тепло-, газо- и водоснабжения населения, водоотведения</w:t>
      </w:r>
    </w:p>
    <w:p w14:paraId="82020000">
      <w:pPr>
        <w:pStyle w:val="Style_8"/>
        <w:spacing w:after="0" w:before="0"/>
        <w:ind w:firstLine="709" w:left="0"/>
      </w:pPr>
      <w:r>
        <w:t>Расчетны</w:t>
      </w:r>
      <w:r>
        <w:t>й</w:t>
      </w:r>
      <w:r>
        <w:t xml:space="preserve"> показател</w:t>
      </w:r>
      <w:r>
        <w:t>ь</w:t>
      </w:r>
      <w:r>
        <w:t xml:space="preserve"> минимального допустимого уровня обеспеченности объектами </w:t>
      </w:r>
      <w:r>
        <w:t>местного</w:t>
      </w:r>
      <w:r>
        <w:t xml:space="preserve"> значения в области </w:t>
      </w:r>
      <w:r>
        <w:t>электроснабжения</w:t>
      </w:r>
      <w:r>
        <w:t xml:space="preserve"> установлен в соответствии </w:t>
      </w:r>
      <w:r>
        <w:t xml:space="preserve">с </w:t>
      </w:r>
      <w:r>
        <w:t xml:space="preserve">РД 34.20.185-94 </w:t>
      </w:r>
      <w:r>
        <w:t>«</w:t>
      </w:r>
      <w:r>
        <w:t>Инструкция по проектированию городских электрических сетей</w:t>
      </w:r>
      <w:r>
        <w:t>»</w:t>
      </w:r>
      <w:r>
        <w:t>, СП</w:t>
      </w:r>
      <w:r>
        <w:t> </w:t>
      </w:r>
      <w:r>
        <w:t>42.13330.2016</w:t>
      </w:r>
      <w:r>
        <w:t>«СНиП 2.07.01-89 Градостроительство. Планировка и застройка городских и сельских поселений»</w:t>
      </w:r>
      <w:r>
        <w:t>и</w:t>
      </w:r>
      <w:r>
        <w:t xml:space="preserve"> с учетом приказа Региональной энергетической комиссии Омской области от 15.08.2012 № 136/38 </w:t>
      </w:r>
      <w:r>
        <w:t>«</w:t>
      </w:r>
      <w:r>
        <w:t>Об утверждении нормативов потребления коммунальной услуги по электроснабжению на территории города Омска и Омской области</w:t>
      </w:r>
      <w:r>
        <w:t>»</w:t>
      </w:r>
      <w:r>
        <w:t>.</w:t>
      </w:r>
    </w:p>
    <w:p w14:paraId="83020000">
      <w:pPr>
        <w:pStyle w:val="Style_8"/>
        <w:spacing w:after="0" w:before="0"/>
        <w:ind w:firstLine="709" w:left="0"/>
      </w:pPr>
      <w:r>
        <w:t xml:space="preserve">Расчетные показатели минимального допустимого уровня обеспеченности объектами местного значения в области теплоснабжения </w:t>
      </w:r>
      <w:r>
        <w:t xml:space="preserve">установлены в соответствии </w:t>
      </w:r>
      <w:r>
        <w:t xml:space="preserve">с </w:t>
      </w:r>
      <w:r>
        <w:t xml:space="preserve">СП </w:t>
      </w:r>
      <w:r>
        <w:t xml:space="preserve">124.13330.2012 </w:t>
      </w:r>
      <w:r>
        <w:t>«</w:t>
      </w:r>
      <w:r>
        <w:t>СНиП 41-02-2003 Тепловые сети</w:t>
      </w:r>
      <w:r>
        <w:t>»</w:t>
      </w:r>
      <w:r>
        <w:t xml:space="preserve">, </w:t>
      </w:r>
      <w:r>
        <w:t xml:space="preserve">СП 50.13330.2012 </w:t>
      </w:r>
      <w:r>
        <w:t>«</w:t>
      </w:r>
      <w:r>
        <w:t>СНиП 23-02-2003 Тепловая защита зданий</w:t>
      </w:r>
      <w:r>
        <w:t>»</w:t>
      </w:r>
      <w:r>
        <w:t xml:space="preserve"> по укрупненным показателям расхода тепла, отнесенным к</w:t>
      </w:r>
      <w:r>
        <w:t> </w:t>
      </w:r>
      <w:r>
        <w:t>1</w:t>
      </w:r>
      <w:r>
        <w:t> </w:t>
      </w:r>
      <w:r>
        <w:t>кв.</w:t>
      </w:r>
      <w:r>
        <w:t> </w:t>
      </w:r>
      <w:r>
        <w:t xml:space="preserve">м общей площади зданий, СП 131.13330.2020 </w:t>
      </w:r>
      <w:r>
        <w:t>«</w:t>
      </w:r>
      <w:r>
        <w:t>СНиП 23-01-99Строительная климатология</w:t>
      </w:r>
      <w:r>
        <w:t>»</w:t>
      </w:r>
      <w:r>
        <w:t xml:space="preserve">и </w:t>
      </w:r>
      <w:r>
        <w:t xml:space="preserve">с учетом приказа Региональной энергетической комиссии Омской области от 20.06.2016 </w:t>
      </w:r>
      <w:r>
        <w:t>№</w:t>
      </w:r>
      <w:r>
        <w:t xml:space="preserve"> 59/27 </w:t>
      </w:r>
      <w:r>
        <w:t>«</w:t>
      </w:r>
      <w:r>
        <w:t>Об утверждении нормативов потребления коммунальной услуги по отоплению на территории города Омска и Омской области</w:t>
      </w:r>
      <w:r>
        <w:t>»</w:t>
      </w:r>
      <w:r>
        <w:t xml:space="preserve"> и сведений о фактическом потреблении тепловой энергии.</w:t>
      </w:r>
      <w:r>
        <w:t xml:space="preserve"> </w:t>
      </w:r>
      <w:r>
        <w:t xml:space="preserve">В СП 131.13330.2020 </w:t>
      </w:r>
      <w:r>
        <w:t>«</w:t>
      </w:r>
      <w:r>
        <w:t>СНиП 23-01-99</w:t>
      </w:r>
      <w:r>
        <w:t>Строительная климатология</w:t>
      </w:r>
      <w:r>
        <w:t>»</w:t>
      </w:r>
      <w:r>
        <w:t xml:space="preserve"> отсутствуют данные для </w:t>
      </w:r>
      <w:r>
        <w:t>Полтавского</w:t>
      </w:r>
      <w:r>
        <w:t xml:space="preserve"> муниципального района, </w:t>
      </w:r>
      <w:r>
        <w:t>в связи с чем</w:t>
      </w:r>
      <w:r>
        <w:t xml:space="preserve"> данные </w:t>
      </w:r>
      <w:r>
        <w:t>взяты</w:t>
      </w:r>
      <w:r>
        <w:t xml:space="preserve"> по ближайшему населенному пункту, по которому они приведены</w:t>
      </w:r>
      <w:r>
        <w:t xml:space="preserve"> (</w:t>
      </w:r>
      <w:r>
        <w:t>г</w:t>
      </w:r>
      <w:r>
        <w:t>ород</w:t>
      </w:r>
      <w:r>
        <w:t xml:space="preserve"> Омск</w:t>
      </w:r>
      <w:r>
        <w:t>)</w:t>
      </w:r>
      <w:r>
        <w:t>.</w:t>
      </w:r>
    </w:p>
    <w:p w14:paraId="84020000">
      <w:pPr>
        <w:pStyle w:val="Style_8"/>
        <w:spacing w:after="0" w:before="0"/>
        <w:ind w:firstLine="709" w:left="0"/>
      </w:pPr>
      <w:r>
        <w:t>Расчетные показатели минимального допустимого уровня обеспеченности объектами газоснабжения установлены на основании СП 42-101-2003 «Общие положения по проектированию и строительству газораспределительных систем из металлических и полиэтиленовых труб» с учетом приказа Региональной энергетической комиссии Омской области от 15.08.2012 № 134/38 «Об утверждении нормативов потребления коммунальных услуг по газоснабжению на территории города Омска и Омской области» и сведений о фактическом потреблении природного газа.</w:t>
      </w:r>
      <w:r>
        <w:t xml:space="preserve"> </w:t>
      </w:r>
      <w:r>
        <w:t>Удельный расход природного газа для отопления, вентиляции и горячего водоснабжения учитывает нагрузку жилых и общественных зданий, коммунально-бытовых объектов (за исключением промышленности).Удельный расход сжиженного углеводородного газа определен для целей приготовления пищи (кг на человека в год).</w:t>
      </w:r>
    </w:p>
    <w:p w14:paraId="85020000">
      <w:pPr>
        <w:pStyle w:val="Style_8"/>
        <w:spacing w:after="0" w:before="0"/>
        <w:ind w:firstLine="709" w:left="0"/>
      </w:pPr>
      <w:r>
        <w:t xml:space="preserve">Расчетные показатели минимального допустимого уровня обеспеченности объектами местного значения в области водоснабжения населения, водоотведения </w:t>
      </w:r>
      <w:r>
        <w:t xml:space="preserve">установлены </w:t>
      </w:r>
      <w:r>
        <w:t>на основании СП 31.13330.2012 «СНиП 2.04.02-84 Водоснабжение. Наружные сети</w:t>
      </w:r>
      <w:r>
        <w:t xml:space="preserve"> и </w:t>
      </w:r>
      <w:r>
        <w:t>сооружения», СП 32.13330.2018 «СНиП 2.04.03-85 Канализация, наружные сети и сооружения» и с учетом приказа Региональной энергетической комиссии Омской области от 11.09.2014 № 118/46 «Об утверждении нормативов потребления коммунальных услуг по холодному и горячему водоснабжению и водоотведению на территории города Омска и Омской области» и сведений о фактическом потреблении холодной и горячей воды.</w:t>
      </w:r>
      <w:r>
        <w:t xml:space="preserve"> </w:t>
      </w:r>
      <w:r>
        <w:t xml:space="preserve">Удельные среднесуточные </w:t>
      </w:r>
      <w:r>
        <w:t xml:space="preserve">показатели </w:t>
      </w:r>
      <w:r>
        <w:t>водопотреблени</w:t>
      </w:r>
      <w:r>
        <w:t>я</w:t>
      </w:r>
      <w:r>
        <w:t xml:space="preserve"> и водоотведени</w:t>
      </w:r>
      <w:r>
        <w:t>я</w:t>
      </w:r>
      <w:r>
        <w:t xml:space="preserve"> учитывают нагрузку жилых и общественных зданий, коммунально-бытовых объектов (за исключением промышленности).</w:t>
      </w:r>
    </w:p>
    <w:p w14:paraId="86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r>
        <w:rPr>
          <w:sz w:val="24"/>
        </w:rPr>
        <w:t>2.2.2 В области автомобильных дорог</w:t>
      </w:r>
    </w:p>
    <w:p w14:paraId="87020000">
      <w:pPr>
        <w:pStyle w:val="Style_16"/>
        <w:spacing w:before="0"/>
        <w:ind w:firstLine="709" w:left="0"/>
      </w:pPr>
      <w:r>
        <w:t xml:space="preserve">Расчетный показатель </w:t>
      </w:r>
      <w:r>
        <w:t>плотности</w:t>
      </w:r>
      <w:r>
        <w:t xml:space="preserve"> автомобильных дорог местного значения муниципального района вне границ населенных пунктов</w:t>
      </w:r>
      <w:r>
        <w:t xml:space="preserve"> </w:t>
      </w:r>
      <w:r>
        <w:t>установлен с учетом сложившейся сети дорог и системы расселения.</w:t>
      </w:r>
    </w:p>
    <w:p w14:paraId="88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r>
        <w:rPr>
          <w:sz w:val="24"/>
        </w:rPr>
        <w:t>2.2.3 В области образования</w:t>
      </w:r>
    </w:p>
    <w:p w14:paraId="89020000">
      <w:pPr>
        <w:ind w:firstLine="709" w:left="0"/>
        <w:jc w:val="both"/>
      </w:pPr>
      <w:r>
        <w:t>Расчетные показатели минимально допустимого уровня обеспеченности объектами местного значения в области образования установлены с учетом:</w:t>
      </w:r>
    </w:p>
    <w:p w14:paraId="8A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демографической ситуации, в том числе возрастной структуры населения в муниципальном образовании (1-7, 7-18, 5-18 лет);</w:t>
      </w:r>
    </w:p>
    <w:p w14:paraId="8B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оценки фактического уровня обеспеченности населения образовательными организациями</w:t>
      </w:r>
      <w:r>
        <w:t xml:space="preserve"> и </w:t>
      </w:r>
      <w:r>
        <w:t>анализа спроса на услуги образовательных организаций (наличие очередности на предоставление услуг);</w:t>
      </w:r>
    </w:p>
    <w:p w14:paraId="8C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приоритетов и целевых показателей (индикаторов) развития муниципального района в области образования</w:t>
      </w:r>
      <w:r>
        <w:t xml:space="preserve">, установленных </w:t>
      </w:r>
      <w:r>
        <w:t>документ</w:t>
      </w:r>
      <w:r>
        <w:t>ами</w:t>
      </w:r>
      <w:r>
        <w:t xml:space="preserve"> стратегического планирования</w:t>
      </w:r>
      <w:r>
        <w:t xml:space="preserve">; </w:t>
      </w:r>
    </w:p>
    <w:p w14:paraId="8D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общественных приоритетов в сфере градостроительного развития территории муниципального образования.</w:t>
      </w:r>
    </w:p>
    <w:p w14:paraId="8E020000">
      <w:pPr>
        <w:pStyle w:val="Style_16"/>
        <w:spacing w:after="0" w:before="0"/>
        <w:ind w:firstLine="709" w:left="0"/>
      </w:pPr>
      <w:r>
        <w:t xml:space="preserve">В соответствии с документами стратегического планирования </w:t>
      </w:r>
      <w:r>
        <w:t xml:space="preserve">к </w:t>
      </w:r>
      <w:r>
        <w:t>приоритетны</w:t>
      </w:r>
      <w:r>
        <w:t>м</w:t>
      </w:r>
      <w:r>
        <w:t xml:space="preserve"> задач</w:t>
      </w:r>
      <w:r>
        <w:t>ам</w:t>
      </w:r>
      <w:r>
        <w:t xml:space="preserve"> социально-экономического развития муниципального района </w:t>
      </w:r>
      <w:r>
        <w:t>относятся:</w:t>
      </w:r>
    </w:p>
    <w:p w14:paraId="8F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 xml:space="preserve">обеспечение доступности дошкольного образования для детей в возрасте </w:t>
      </w:r>
      <w:r>
        <w:t xml:space="preserve">от </w:t>
      </w:r>
      <w:r>
        <w:t>3 до 7 лет;</w:t>
      </w:r>
    </w:p>
    <w:p w14:paraId="90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ликвидация обучения во вторую смену;</w:t>
      </w:r>
    </w:p>
    <w:p w14:paraId="91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развитие инфраструктуры и ресурсного обеспечения муниципальных организаций</w:t>
      </w:r>
      <w:r>
        <w:t xml:space="preserve"> дополнительного образования, а также популяризация системы дополнительного образования.</w:t>
      </w:r>
    </w:p>
    <w:p w14:paraId="92020000">
      <w:pPr>
        <w:pStyle w:val="Style_17"/>
        <w:tabs>
          <w:tab w:leader="none" w:pos="993" w:val="left"/>
        </w:tabs>
        <w:spacing w:line="240" w:lineRule="auto"/>
        <w:ind w:firstLine="0" w:left="0"/>
        <w:contextualSpacing w:val="1"/>
        <w:jc w:val="left"/>
      </w:pPr>
      <w:r>
        <w:rPr>
          <w:color w:val="FF0000"/>
        </w:rPr>
        <w:tab/>
      </w:r>
      <w:r>
        <w:t xml:space="preserve">Стратегией </w:t>
      </w:r>
      <w:r>
        <w:t>социально-экономического развития Полтавского муниципального района Омской области до 2030 года и Плана мероприятий реализации Стратегии, утвержденной решением Совета Полтавского муниципального района Омской области от 28.12.2018 №72,</w:t>
      </w:r>
      <w:r>
        <w:t xml:space="preserve"> </w:t>
      </w:r>
      <w:r>
        <w:t xml:space="preserve"> </w:t>
      </w:r>
      <w:r>
        <w:t xml:space="preserve">закреплены следующие </w:t>
      </w:r>
      <w:r>
        <w:t>значени</w:t>
      </w:r>
      <w:r>
        <w:t xml:space="preserve">я целевых показателей на период </w:t>
      </w:r>
      <w:r>
        <w:t xml:space="preserve">до </w:t>
      </w:r>
      <w:r>
        <w:t>2030</w:t>
      </w:r>
      <w:r>
        <w:t xml:space="preserve"> года:</w:t>
      </w:r>
    </w:p>
    <w:p w14:paraId="93020000">
      <w:pPr>
        <w:pStyle w:val="Style_17"/>
        <w:numPr>
          <w:ilvl w:val="0"/>
          <w:numId w:val="5"/>
        </w:numPr>
        <w:spacing w:line="240" w:lineRule="auto"/>
        <w:ind w:firstLine="567" w:left="0"/>
      </w:pPr>
      <w:r>
        <w:t xml:space="preserve"> обеспечение доли детей в возрасте 1-6 лет, получающих дошкольную образовательную услугу и (или) услугу по их содержанию в муниципальных дошкольных образовательных учреждениях в общей численности детей в возрасте 1 - 6 лет к 2025 году на уровне 65,0%, к 2030 году – 66,0%;</w:t>
      </w:r>
    </w:p>
    <w:p w14:paraId="94020000">
      <w:pPr>
        <w:pStyle w:val="Style_17"/>
        <w:numPr>
          <w:ilvl w:val="0"/>
          <w:numId w:val="5"/>
        </w:numPr>
        <w:spacing w:line="240" w:lineRule="auto"/>
        <w:ind w:firstLine="567" w:left="0"/>
      </w:pPr>
      <w:r>
        <w:t xml:space="preserve"> снижение доли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 к 2025 году до 3,0%, к 2030 году – до 2,8%;</w:t>
      </w:r>
    </w:p>
    <w:p w14:paraId="95020000">
      <w:pPr>
        <w:pStyle w:val="Style_17"/>
        <w:numPr>
          <w:ilvl w:val="0"/>
          <w:numId w:val="5"/>
        </w:numPr>
        <w:spacing w:line="240" w:lineRule="auto"/>
        <w:ind w:firstLine="567" w:left="0"/>
      </w:pPr>
      <w:r>
        <w:t xml:space="preserve"> увеличение доли муниципальных общеобразовательных учреждений, соответствующих современным требованиям обучения, в общем количестве </w:t>
      </w:r>
      <w:r>
        <w:t>муниципальных общеобразовательных учреждений к 2025 году до 85,5%, к 2030 году – 92,0%;</w:t>
      </w:r>
    </w:p>
    <w:p w14:paraId="96020000">
      <w:pPr>
        <w:pStyle w:val="Style_17"/>
        <w:numPr>
          <w:ilvl w:val="0"/>
          <w:numId w:val="5"/>
        </w:numPr>
        <w:spacing w:line="240" w:lineRule="auto"/>
        <w:ind w:firstLine="567" w:left="0"/>
      </w:pPr>
      <w:r>
        <w:t xml:space="preserve"> обеспечение доли детей первой и второй групп здоровья в общей численности обучающихся в муниципальных общеобразовательных учреждениях к 2025 году – 92,0%, к 2030 году – 93,0%;</w:t>
      </w:r>
    </w:p>
    <w:p w14:paraId="97020000">
      <w:pPr>
        <w:pStyle w:val="Style_17"/>
        <w:numPr>
          <w:ilvl w:val="0"/>
          <w:numId w:val="5"/>
        </w:numPr>
        <w:spacing w:line="240" w:lineRule="auto"/>
        <w:ind w:firstLine="567" w:left="0"/>
      </w:pPr>
      <w:r>
        <w:t xml:space="preserve"> увеличение охвата детей в возрасте от 5 до 18 лет программами дополнительного образования (удельный вес численности детей, получающих услуги дополнительного образования , в общей численности детей в возрасте от 5 до 18 лет) к 2025 году до 76,8%, к 2030 году – 78,5%.</w:t>
      </w:r>
    </w:p>
    <w:p w14:paraId="98020000">
      <w:pPr>
        <w:pStyle w:val="Style_17"/>
        <w:tabs>
          <w:tab w:leader="none" w:pos="993" w:val="left"/>
        </w:tabs>
        <w:spacing w:line="240" w:lineRule="auto"/>
        <w:ind w:firstLine="709" w:left="0"/>
        <w:contextualSpacing w:val="1"/>
        <w:rPr>
          <w:highlight w:val="yellow"/>
        </w:rPr>
      </w:pPr>
      <w:r>
        <w:t xml:space="preserve">Размеры земельных участков для объектов местного значения в области образования установлены с учетом положений СП 252.1325800.2016 «Здания дошкольных общеобразовательных организаций. Правила проектирования», СП 251.1325800.2016 «Здания общеобразовательных организаций. Правила проектирования», СП 2.4.3648-20 «Санитарно-эпидемиологические требования к организациям воспитания и обучения, отдыха и оздоровления детей и молодежи», а также с учетом сложившейся практики проектирования и строительства. </w:t>
      </w:r>
    </w:p>
    <w:p w14:paraId="99020000">
      <w:pPr>
        <w:pStyle w:val="Style_17"/>
        <w:spacing w:line="240" w:lineRule="auto"/>
        <w:ind w:firstLine="709" w:left="0"/>
        <w:contextualSpacing w:val="1"/>
      </w:pPr>
      <w:r>
        <w:t>Расчетные показатели максимально допустимого уровня территориальной доступности до</w:t>
      </w:r>
      <w:r>
        <w:t xml:space="preserve"> объектов местного значения в области образования установлены с учетом сложившейся системы расселения в муниципальном образовании,</w:t>
      </w:r>
      <w:r>
        <w:t xml:space="preserve"> морфологии жилой застройки,</w:t>
      </w:r>
      <w:r>
        <w:t xml:space="preserve"> положений СП</w:t>
      </w:r>
      <w:r>
        <w:t> </w:t>
      </w:r>
      <w:r>
        <w:t xml:space="preserve">2.4.3648-20 «Санитарно-эпидемиологические требования к организациям воспитания и обучения, отдыха и оздоровления детей и молодежи», экономической целесообразности строительства и содержания образовательных организаций малой мощности. </w:t>
      </w:r>
    </w:p>
    <w:p w14:paraId="9A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r>
        <w:rPr>
          <w:sz w:val="24"/>
        </w:rPr>
        <w:t>2.2.4</w:t>
      </w:r>
      <w:r>
        <w:rPr>
          <w:sz w:val="24"/>
        </w:rPr>
        <w:t>В области физической культуры и массового спорта</w:t>
      </w:r>
    </w:p>
    <w:p w14:paraId="9B020000">
      <w:pPr>
        <w:ind w:firstLine="709" w:left="0"/>
        <w:jc w:val="both"/>
      </w:pPr>
      <w:bookmarkStart w:id="19" w:name="_Ref41847674"/>
      <w:r>
        <w:t>Расчетные показатели минимально допустимого уровня обеспеченности объектами местного значения в области физической культуры и массового спорта установлены с учетом:</w:t>
      </w:r>
    </w:p>
    <w:p w14:paraId="9C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демографической ситуации, в том числе возрастной структуры населения в муниципальном образовании (3-79 лет);</w:t>
      </w:r>
    </w:p>
    <w:p w14:paraId="9D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оценки фактического уровня обеспеченности населения объектами физической культуры и массового спорта;</w:t>
      </w:r>
    </w:p>
    <w:p w14:paraId="9E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приоритетов и целевых показателей (индикаторов) развития муниципального района в области физической культуры и массового спорта</w:t>
      </w:r>
      <w:r>
        <w:t xml:space="preserve">, установленных </w:t>
      </w:r>
      <w:r>
        <w:t>документ</w:t>
      </w:r>
      <w:r>
        <w:t>ами</w:t>
      </w:r>
      <w:r>
        <w:t xml:space="preserve"> стратегического планирования</w:t>
      </w:r>
      <w:r>
        <w:t xml:space="preserve">; </w:t>
      </w:r>
    </w:p>
    <w:p w14:paraId="9F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общественных приоритетов в сфере градостроительного развития территории муниципального образования.</w:t>
      </w:r>
    </w:p>
    <w:p w14:paraId="A0020000">
      <w:pPr>
        <w:ind w:firstLine="709" w:left="0"/>
        <w:jc w:val="both"/>
      </w:pPr>
      <w:r>
        <w:t xml:space="preserve">Документами стратегического планирования муниципального района определены значения целевых показателей развития сферы физической культуры и массового спорта. </w:t>
      </w:r>
      <w:r>
        <w:t xml:space="preserve">Так, согласно </w:t>
      </w:r>
      <w:r>
        <w:t>Стратегии социально-экономического развития Полтавского муниципального района Омской области до 2030 года и Плана мероприятий реализации Стратегии</w:t>
      </w:r>
      <w:r>
        <w:t xml:space="preserve">, утвержденной </w:t>
      </w:r>
      <w:r>
        <w:t>решением</w:t>
      </w:r>
      <w:r>
        <w:t xml:space="preserve"> </w:t>
      </w:r>
      <w:r>
        <w:t>Совета</w:t>
      </w:r>
      <w:r>
        <w:t xml:space="preserve"> </w:t>
      </w:r>
      <w:r>
        <w:t>Полтавского</w:t>
      </w:r>
      <w:r>
        <w:t xml:space="preserve"> муниципального района Омской области от </w:t>
      </w:r>
      <w:r>
        <w:t>28.12.2018</w:t>
      </w:r>
      <w:r>
        <w:t xml:space="preserve"> №</w:t>
      </w:r>
      <w:r>
        <w:t>72</w:t>
      </w:r>
      <w:r>
        <w:t>, доля жителей муниципального района, систематически занимающихся физич</w:t>
      </w:r>
      <w:r>
        <w:t>еской культурой и спортом, к 2030</w:t>
      </w:r>
      <w:r>
        <w:t xml:space="preserve"> году прогно</w:t>
      </w:r>
      <w:r>
        <w:t>зируется на уровне 58</w:t>
      </w:r>
      <w:r>
        <w:t xml:space="preserve">%. </w:t>
      </w:r>
    </w:p>
    <w:p w14:paraId="A1020000">
      <w:pPr>
        <w:ind w:firstLine="709" w:left="0"/>
        <w:jc w:val="both"/>
      </w:pPr>
      <w:bookmarkEnd w:id="19"/>
      <w:r>
        <w:t>Расчетные показатели максимально допустимого уровня территориальной доступности до</w:t>
      </w:r>
      <w:r>
        <w:t xml:space="preserve"> объектов местного значения в области физической культуры и массового спорта установлены с учетом сложившейся системы расселения в муниципальном образовании.</w:t>
      </w:r>
    </w:p>
    <w:p w14:paraId="A2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r>
        <w:rPr>
          <w:sz w:val="24"/>
        </w:rPr>
        <w:t>2.2</w:t>
      </w:r>
      <w:r>
        <w:rPr>
          <w:sz w:val="24"/>
        </w:rPr>
        <w:t>.</w:t>
      </w:r>
      <w:r>
        <w:rPr>
          <w:sz w:val="24"/>
        </w:rPr>
        <w:t>5</w:t>
      </w:r>
      <w:r>
        <w:rPr>
          <w:sz w:val="24"/>
        </w:rPr>
        <w:t xml:space="preserve"> В области культуры и искусства</w:t>
      </w:r>
    </w:p>
    <w:p w14:paraId="A3020000">
      <w:pPr>
        <w:ind w:firstLine="709" w:left="0"/>
        <w:jc w:val="both"/>
      </w:pPr>
      <w:r>
        <w:t>Расчетные показатели минимально допустимого уровня обеспеченности объектами местного значения в области культуры и искусства установлены с учетом:</w:t>
      </w:r>
    </w:p>
    <w:p w14:paraId="A4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демографической ситуации;</w:t>
      </w:r>
    </w:p>
    <w:p w14:paraId="A5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оценки фактического уровня обеспеченности населения объектами в области культуры и искусства;</w:t>
      </w:r>
    </w:p>
    <w:p w14:paraId="A6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приоритетов и целевых показателей (индикаторов) развития муниципального района в области культуры и искусства</w:t>
      </w:r>
      <w:r>
        <w:t xml:space="preserve">, установленных </w:t>
      </w:r>
      <w:r>
        <w:t>документ</w:t>
      </w:r>
      <w:r>
        <w:t>ами</w:t>
      </w:r>
      <w:r>
        <w:t xml:space="preserve"> стратегического планирования;</w:t>
      </w:r>
    </w:p>
    <w:p w14:paraId="A7020000">
      <w:pPr>
        <w:pStyle w:val="Style_17"/>
        <w:numPr>
          <w:ilvl w:val="0"/>
          <w:numId w:val="5"/>
        </w:numPr>
        <w:tabs>
          <w:tab w:leader="none" w:pos="993" w:val="left"/>
        </w:tabs>
        <w:spacing w:line="240" w:lineRule="auto"/>
        <w:ind w:firstLine="709" w:left="0"/>
        <w:contextualSpacing w:val="1"/>
      </w:pPr>
      <w:r>
        <w:t>общественных приоритетов в сфере градостроительного развития территории муниципального образования.</w:t>
      </w:r>
    </w:p>
    <w:p w14:paraId="A8020000">
      <w:pPr>
        <w:ind w:firstLine="709" w:left="0"/>
        <w:jc w:val="both"/>
      </w:pPr>
      <w:r>
        <w:t xml:space="preserve">Обеспечение развития указанной отрасли в муниципальном районе выступает стратегическим приоритетом в рамках </w:t>
      </w:r>
      <w:r>
        <w:t>Стратегии социально-экономического развития Полтавского муниципального района Омской области до 2030 года и Плана мероприятий реализации Стратегии, утвержденной решением Совета Полтавского муниципального района Омской области от 28.12.2018 №72</w:t>
      </w:r>
      <w:r>
        <w:t>. Для достижения данной цели в районе</w:t>
      </w:r>
      <w:r>
        <w:t xml:space="preserve"> необходим</w:t>
      </w:r>
      <w:r>
        <w:t>ы</w:t>
      </w:r>
      <w:r>
        <w:t xml:space="preserve"> развитие культурно-досуговой деятельности и библиотечного обслуживания, сохранение и популяризация культурно-исторического наследия.</w:t>
      </w:r>
    </w:p>
    <w:p w14:paraId="A9020000">
      <w:pPr>
        <w:pStyle w:val="Style_17"/>
        <w:spacing w:line="240" w:lineRule="auto"/>
        <w:ind w:firstLine="709" w:left="0"/>
        <w:contextualSpacing w:val="1"/>
      </w:pPr>
      <w:r>
        <w:t>Размеры земельных участков для объектов местного значения в области культуры и искусства установлены с учетом сложившейся практики проектирования и строительства.</w:t>
      </w:r>
    </w:p>
    <w:p w14:paraId="AA020000">
      <w:pPr>
        <w:pStyle w:val="Style_17"/>
        <w:spacing w:line="240" w:lineRule="auto"/>
        <w:ind w:firstLine="709" w:left="0"/>
        <w:contextualSpacing w:val="1"/>
      </w:pPr>
      <w:r>
        <w:t>Расчетные показатели максимально допустимого уровня территориальной доступности до</w:t>
      </w:r>
      <w:r>
        <w:t xml:space="preserve"> объектов местного значения в области культуры и искусства установлены с учетом сложившейся системы расселения в муниципальном образовании.</w:t>
      </w:r>
    </w:p>
    <w:p w14:paraId="AB020000">
      <w:pPr>
        <w:pStyle w:val="Style_15"/>
        <w:keepNext w:val="1"/>
        <w:keepLines w:val="1"/>
        <w:tabs>
          <w:tab w:leader="none" w:pos="1701" w:val="clear"/>
        </w:tabs>
        <w:spacing w:after="0" w:before="120"/>
        <w:ind w:firstLine="709" w:left="0"/>
        <w:jc w:val="both"/>
        <w:rPr>
          <w:sz w:val="24"/>
        </w:rPr>
      </w:pPr>
      <w:r>
        <w:t>2.2.</w:t>
      </w:r>
      <w:r>
        <w:t>6</w:t>
      </w:r>
      <w:r>
        <w:t xml:space="preserve"> В области жилищного строительства</w:t>
      </w:r>
    </w:p>
    <w:p w14:paraId="AC020000">
      <w:pPr>
        <w:pStyle w:val="Style_8"/>
        <w:spacing w:after="0" w:before="0"/>
        <w:ind w:firstLine="709" w:left="0"/>
      </w:pPr>
      <w:r>
        <w:t>Расчетные показатели в отношении объектов жилищного строительства установлены с учетом баланса территорий в границах элемента планировочной структуры исходя из его площади.</w:t>
      </w:r>
    </w:p>
    <w:p w14:paraId="AD020000">
      <w:pPr>
        <w:pStyle w:val="Style_8"/>
        <w:spacing w:after="0" w:before="0"/>
        <w:ind w:firstLine="709" w:left="0"/>
      </w:pPr>
      <w:r>
        <w:t>Многоквартирная ж</w:t>
      </w:r>
      <w:r>
        <w:t xml:space="preserve">илая застройка на территории </w:t>
      </w:r>
      <w:r>
        <w:t>Полтавского</w:t>
      </w:r>
      <w:r>
        <w:t xml:space="preserve"> </w:t>
      </w:r>
      <w:r>
        <w:t xml:space="preserve">муниципального </w:t>
      </w:r>
      <w:r>
        <w:t>района в зависимости от этажности подразделяется на следующие типы:</w:t>
      </w:r>
    </w:p>
    <w:p w14:paraId="AE020000">
      <w:pPr>
        <w:pStyle w:val="Style_9"/>
        <w:spacing w:after="0"/>
        <w:ind w:firstLine="709" w:left="0"/>
      </w:pPr>
      <w:r>
        <w:t>малоэтажная жилая застройка – застройка многоквартирными, блокированными жилыми домами высотой до 4 этажей включительно, без земельных участков;</w:t>
      </w:r>
    </w:p>
    <w:p w14:paraId="AF020000">
      <w:pPr>
        <w:pStyle w:val="Style_9"/>
        <w:spacing w:after="0"/>
        <w:ind w:firstLine="709" w:left="0"/>
      </w:pPr>
      <w:r>
        <w:t>среднеэтажная жилая застройка – застройка многоквартирными жилыми домами высотой от 5 до 8 этажей включительно.</w:t>
      </w:r>
    </w:p>
    <w:p w14:paraId="B0020000">
      <w:pPr>
        <w:pStyle w:val="Style_8"/>
        <w:spacing w:after="0" w:before="0"/>
        <w:ind w:firstLine="709" w:left="0"/>
      </w:pPr>
      <w:r>
        <w:t xml:space="preserve">Расчетная плотность населения </w:t>
      </w:r>
      <w:r>
        <w:t>территории многоквартирной жилой застройки</w:t>
      </w:r>
      <w:r>
        <w:t xml:space="preserve"> является показателем обеспеченности населения территорией для размещения объектов жилищного строительства, позволяет определить численность населения в границах элемента планировочной структуры с учетом потребности в размещении объектов социальной, транспортной, инженерной инфраструктур необходимой мощности в границах заданной территории. </w:t>
      </w:r>
    </w:p>
    <w:p w14:paraId="B1020000">
      <w:pPr>
        <w:pStyle w:val="Style_8"/>
        <w:spacing w:after="0" w:before="0"/>
        <w:ind w:firstLine="709" w:left="0"/>
      </w:pPr>
      <w:r>
        <w:t xml:space="preserve">Расчетная плотность населения в границах элемента планировочной структуры планируемой застройки определена с учетом показателя средней жилищной обеспеченности общей площадью квартир для среднеэтажной многоквартирной жилой застройки – 25 кв. м на человека, для малоэтажной жилой застройки – 30 кв. м на человека. При другой жилищной обеспеченности расчетную нормативную плотность Р, чел./га для среднеэтажной многоквартирной жилой застройки следует определять </w:t>
      </w:r>
      <w:r>
        <w:t>по формуле:</w:t>
      </w:r>
    </w:p>
    <w:p w14:paraId="B2020000">
      <w:pPr>
        <w:pStyle w:val="Style_18"/>
        <w:widowControl w:val="1"/>
        <w:ind w:firstLine="709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 = (Р</w:t>
      </w:r>
      <w:r>
        <w:rPr>
          <w:rFonts w:ascii="Times New Roman" w:hAnsi="Times New Roman"/>
          <w:b w:val="1"/>
          <w:sz w:val="24"/>
          <w:vertAlign w:val="subscript"/>
        </w:rPr>
        <w:t>25</w:t>
      </w:r>
      <w:r>
        <w:rPr>
          <w:rFonts w:ascii="Times New Roman" w:hAnsi="Times New Roman"/>
          <w:sz w:val="24"/>
        </w:rPr>
        <w:t xml:space="preserve"> х 25) / Н, </w:t>
      </w:r>
    </w:p>
    <w:p w14:paraId="B3020000">
      <w:pPr>
        <w:pStyle w:val="Style_18"/>
        <w:widowControl w:val="1"/>
        <w:ind w:firstLine="709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где:</w:t>
      </w:r>
    </w:p>
    <w:p w14:paraId="B4020000">
      <w:pPr>
        <w:pStyle w:val="Style_18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</w:t>
      </w:r>
      <w:r>
        <w:rPr>
          <w:rFonts w:ascii="Times New Roman" w:hAnsi="Times New Roman"/>
          <w:b w:val="1"/>
          <w:sz w:val="24"/>
          <w:vertAlign w:val="subscript"/>
        </w:rPr>
        <w:t xml:space="preserve">25 </w:t>
      </w:r>
      <w:r>
        <w:rPr>
          <w:rFonts w:ascii="Times New Roman" w:hAnsi="Times New Roman"/>
          <w:sz w:val="24"/>
        </w:rPr>
        <w:t>– показатель плотности населения при 25 кв. м жилых помещений на 1 человека;</w:t>
      </w:r>
    </w:p>
    <w:p w14:paraId="B5020000">
      <w:pPr>
        <w:pStyle w:val="Style_18"/>
        <w:widowControl w:val="1"/>
        <w:spacing w:after="120"/>
        <w:ind w:firstLine="709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 – расчетная жилищная обеспеченность, кв. м жилых помещений на 1 человека.</w:t>
      </w:r>
    </w:p>
    <w:p w14:paraId="B6020000">
      <w:pPr>
        <w:pStyle w:val="Style_8"/>
        <w:ind w:firstLine="709" w:left="0"/>
      </w:pPr>
      <w:r>
        <w:t xml:space="preserve">Для малоэтажной жилой застройки с жилищной обеспеченностью, отличной от 30 кв. м жилых помещений на 1 человека, расчетную нормативную плотность населения Р, человек/га следует определять по формуле: </w:t>
      </w:r>
    </w:p>
    <w:p w14:paraId="B7020000">
      <w:pPr>
        <w:pStyle w:val="Style_18"/>
        <w:widowControl w:val="1"/>
        <w:ind w:firstLine="709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 = (Р</w:t>
      </w:r>
      <w:r>
        <w:rPr>
          <w:rFonts w:ascii="Times New Roman" w:hAnsi="Times New Roman"/>
          <w:b w:val="1"/>
          <w:sz w:val="24"/>
          <w:vertAlign w:val="subscript"/>
        </w:rPr>
        <w:t>30</w:t>
      </w:r>
      <w:r>
        <w:rPr>
          <w:rFonts w:ascii="Times New Roman" w:hAnsi="Times New Roman"/>
          <w:sz w:val="24"/>
        </w:rPr>
        <w:t xml:space="preserve"> х 30) / Н, </w:t>
      </w:r>
    </w:p>
    <w:p w14:paraId="B8020000">
      <w:pPr>
        <w:pStyle w:val="Style_18"/>
        <w:widowControl w:val="1"/>
        <w:ind w:firstLine="709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где:</w:t>
      </w:r>
    </w:p>
    <w:p w14:paraId="B9020000">
      <w:pPr>
        <w:pStyle w:val="Style_18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</w:t>
      </w:r>
      <w:r>
        <w:rPr>
          <w:rFonts w:ascii="Times New Roman" w:hAnsi="Times New Roman"/>
          <w:b w:val="1"/>
          <w:sz w:val="24"/>
          <w:vertAlign w:val="subscript"/>
        </w:rPr>
        <w:t>30</w:t>
      </w:r>
      <w:r>
        <w:rPr>
          <w:rFonts w:ascii="Times New Roman" w:hAnsi="Times New Roman"/>
          <w:sz w:val="24"/>
        </w:rPr>
        <w:t xml:space="preserve"> – показатель плотности населения при 30 кв. м жилых помещений на 1 человека;</w:t>
      </w:r>
    </w:p>
    <w:p w14:paraId="BA020000">
      <w:pPr>
        <w:pStyle w:val="Style_18"/>
        <w:widowControl w:val="1"/>
        <w:spacing w:after="120"/>
        <w:ind w:firstLine="709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 – расчетная жилищная обеспеченность, кв. м жилых помещений на 1 человека.</w:t>
      </w:r>
    </w:p>
    <w:p w14:paraId="BB020000">
      <w:pPr>
        <w:pStyle w:val="Style_8"/>
      </w:pPr>
      <w:r>
        <w:t>При этом расчетная плотность населения микрорайонов, как правило, не должна превышать 450 человек на гектар.</w:t>
      </w:r>
    </w:p>
    <w:p w14:paraId="BC020000">
      <w:pPr>
        <w:pStyle w:val="Style_8"/>
        <w:rPr>
          <w:color w:val="FF0000"/>
        </w:rPr>
      </w:pPr>
    </w:p>
    <w:p w14:paraId="BD020000">
      <w:bookmarkStart w:id="20" w:name="__RefHeading___14"/>
      <w:bookmarkEnd w:id="20"/>
      <w:pPr>
        <w:pStyle w:val="Style_6"/>
        <w:tabs>
          <w:tab w:leader="none" w:pos="851" w:val="clear"/>
          <w:tab w:leader="none" w:pos="1134" w:val="left"/>
        </w:tabs>
        <w:ind/>
        <w:jc w:val="both"/>
        <w:rPr>
          <w:sz w:val="26"/>
        </w:rPr>
      </w:pPr>
      <w:r>
        <w:rPr>
          <w:sz w:val="26"/>
        </w:rPr>
        <w:t xml:space="preserve">3 </w:t>
      </w:r>
      <w:r>
        <w:rPr>
          <w:sz w:val="26"/>
        </w:rPr>
        <w:t>ПРАВИЛА И ОБЛАСТЬ ПРИМЕНЕНИЯ РАСЧЕТНЫХ ПОКАЗАТЕЛЕЙ</w:t>
      </w:r>
    </w:p>
    <w:p w14:paraId="BE020000">
      <w:pPr>
        <w:pStyle w:val="Style_8"/>
        <w:spacing w:after="0" w:before="0"/>
        <w:ind w:firstLine="709" w:left="0"/>
      </w:pPr>
      <w:r>
        <w:t>Действие местных нормативов градостроительного проектирования распространяется на всю территорию муниципального образования.</w:t>
      </w:r>
    </w:p>
    <w:p w14:paraId="BF020000">
      <w:pPr>
        <w:pStyle w:val="Style_8"/>
        <w:spacing w:after="0" w:before="0"/>
        <w:ind w:firstLine="709" w:left="0"/>
      </w:pPr>
      <w:r>
        <w:t>Местные нормативы градостроительного проектирования обязательны для всех субъектов градостроительной деятельности на</w:t>
      </w:r>
      <w:r>
        <w:t xml:space="preserve"> </w:t>
      </w:r>
      <w:r>
        <w:t>территории муниципального образования независимо от их организационно-правовой формы.</w:t>
      </w:r>
    </w:p>
    <w:p w14:paraId="C0020000">
      <w:pPr>
        <w:pStyle w:val="Style_8"/>
        <w:spacing w:after="0" w:before="0"/>
        <w:ind w:firstLine="709" w:left="0"/>
      </w:pPr>
      <w:r>
        <w:t>Местные нормативы градостроительного проектирования</w:t>
      </w:r>
      <w:r>
        <w:t xml:space="preserve"> </w:t>
      </w:r>
      <w:r>
        <w:t>распространяются только на вновь разрабатываемую градостроительную и иную документацию, а также проекты внесения изменений в такую документацию.</w:t>
      </w:r>
    </w:p>
    <w:p w14:paraId="C1020000">
      <w:pPr>
        <w:pStyle w:val="Style_8"/>
        <w:spacing w:after="0" w:before="0"/>
        <w:ind w:firstLine="709" w:left="0"/>
      </w:pPr>
      <w:r>
        <w:t xml:space="preserve">Расчетные показатели минимально допустимого уровня обеспеченности объектами местного значения и максимально допустимого уровня территориальной доступности таких объектов для населения, установленные настоящими нормативами градостроительного проектирования, </w:t>
      </w:r>
      <w:r>
        <w:t>применяются в соответствии с настоящим разделом.</w:t>
      </w:r>
    </w:p>
    <w:p w14:paraId="C2020000">
      <w:pPr>
        <w:pStyle w:val="Style_8"/>
        <w:spacing w:after="0" w:before="0"/>
        <w:ind w:firstLine="709" w:left="0"/>
      </w:pPr>
      <w:r>
        <w:t>Расчетные показатели минимально допустимого уровня обеспеченности объектами местного значения и максимально допустимого уровня территориальной доступности таких объектов для населения, принятые равными предельным значениям расчетных показателей</w:t>
      </w:r>
      <w:r>
        <w:t xml:space="preserve"> </w:t>
      </w:r>
      <w:r>
        <w:t>региональных нормативов градостроительного проектирования Омской области, применяются в соответствии с правилами и областью применения указанных региональных нормативов.</w:t>
      </w:r>
    </w:p>
    <w:p w14:paraId="C3020000">
      <w:pPr>
        <w:pStyle w:val="Style_8"/>
        <w:spacing w:after="0" w:before="0"/>
        <w:ind w:firstLine="709" w:left="0"/>
      </w:pPr>
      <w:r>
        <w:t>При разработке схемы территориального планирования муниципального района расчетные показатели применяются для определения характеристик и местоположения объектов местного значения муниципального района.</w:t>
      </w:r>
    </w:p>
    <w:p w14:paraId="C4020000">
      <w:pPr>
        <w:pStyle w:val="Style_8"/>
        <w:spacing w:after="0" w:before="0"/>
        <w:ind w:firstLine="709" w:left="0"/>
      </w:pPr>
      <w:r>
        <w:t>При разработке</w:t>
      </w:r>
      <w:r>
        <w:t xml:space="preserve"> </w:t>
      </w:r>
      <w:r>
        <w:t>документации по планировке территории</w:t>
      </w:r>
      <w:r>
        <w:t xml:space="preserve"> </w:t>
      </w:r>
      <w:r>
        <w:t>расчетные показатели применяются для определения характеристик планируемого развития территории, в том числе плотности и параметров застройки территории, размеров земельных участков.</w:t>
      </w:r>
    </w:p>
    <w:p w14:paraId="C5020000">
      <w:pPr>
        <w:pStyle w:val="Style_8"/>
        <w:spacing w:after="0" w:before="0"/>
        <w:ind w:firstLine="709" w:left="0"/>
      </w:pPr>
      <w:r>
        <w:t>При выдаче разрешения на строительство расчетные показатели применяются для проведения проверки соответствия проектной документации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а также допустимости размещения объекта капитального строительства в соответствии с разрешенным использованием земельного участка и ограничениями, установленными в соответствии с земельным и иным законодательством Российской Федерации.</w:t>
      </w:r>
    </w:p>
    <w:p w14:paraId="C6020000">
      <w:pPr>
        <w:pStyle w:val="Style_8"/>
        <w:spacing w:after="0" w:before="0"/>
        <w:ind w:firstLine="709" w:left="0"/>
      </w:pPr>
      <w:r>
        <w:t>При организации конкурсов на разработку документации архитектурно-строительного проектирования, проектов благоустройства расчетные показатели применяются для установления требований к проектным решениям по развитию территории и размещению объектов, содержащихся в конкурсной документации.</w:t>
      </w:r>
    </w:p>
    <w:p w14:paraId="C7020000">
      <w:pPr>
        <w:pStyle w:val="Style_8"/>
        <w:spacing w:after="0" w:before="0"/>
        <w:ind w:firstLine="709" w:left="0"/>
      </w:pPr>
      <w:r>
        <w:t>При разработке проектной документации, проектов благоустройства расчетные показатели применяются для установления параметров и характеристик территорий, зданий и сооружений.</w:t>
      </w:r>
    </w:p>
    <w:p w14:paraId="C8020000">
      <w:pPr>
        <w:pStyle w:val="Style_8"/>
        <w:spacing w:after="0" w:before="0"/>
        <w:ind w:firstLine="709" w:left="0"/>
      </w:pPr>
      <w:r>
        <w:t>При комплексном развитии территории расчетные показатели применяются для определения характеристик планируемого развития территории, в том числе параметров застройки территории, видов разрешенного использования и размеров земельных участков в решениях органа местного самоуправления о комплексном развитии, в документации по планировке территории комплексного развития.</w:t>
      </w:r>
    </w:p>
    <w:p w14:paraId="C9020000">
      <w:pPr>
        <w:pStyle w:val="Style_8"/>
        <w:spacing w:after="0" w:before="0"/>
        <w:ind w:firstLine="709" w:left="0"/>
      </w:pPr>
    </w:p>
    <w:p w14:paraId="CA020000">
      <w:pPr>
        <w:pStyle w:val="Style_8"/>
        <w:spacing w:after="0" w:before="0"/>
        <w:ind w:firstLine="709" w:left="0"/>
      </w:pPr>
    </w:p>
    <w:p w14:paraId="CB020000">
      <w:pPr>
        <w:sectPr>
          <w:headerReference r:id="rId7" w:type="default"/>
          <w:footerReference r:id="rId8" w:type="default"/>
          <w:pgSz w:h="16838" w:orient="portrait" w:w="11906"/>
          <w:pgMar w:bottom="680" w:footer="544" w:gutter="0" w:header="425" w:left="1701" w:right="851" w:top="1134"/>
        </w:sectPr>
      </w:pPr>
    </w:p>
    <w:p w14:paraId="CC020000">
      <w:bookmarkStart w:id="21" w:name="__RefHeading___15"/>
      <w:bookmarkEnd w:id="21"/>
      <w:pPr>
        <w:pStyle w:val="Style_19"/>
        <w:tabs>
          <w:tab w:leader="none" w:pos="360" w:val="clear"/>
          <w:tab w:leader="none" w:pos="993" w:val="left"/>
        </w:tabs>
        <w:spacing w:after="240" w:before="240" w:line="240" w:lineRule="auto"/>
        <w:ind w:firstLine="0" w:left="0"/>
        <w:jc w:val="center"/>
        <w:rPr>
          <w:caps w:val="1"/>
        </w:rPr>
      </w:pPr>
      <w:r>
        <w:rPr>
          <w:caps w:val="1"/>
        </w:rPr>
        <w:t xml:space="preserve">ПРИЛОЖЕНИЕ </w:t>
      </w:r>
      <w:r>
        <w:rPr>
          <w:caps w:val="1"/>
        </w:rPr>
        <w:t>А</w:t>
      </w:r>
      <w:r>
        <w:rPr>
          <w:caps w:val="1"/>
        </w:rPr>
        <w:t xml:space="preserve">. </w:t>
      </w:r>
      <w:r>
        <w:rPr>
          <w:caps w:val="1"/>
        </w:rPr>
        <w:t xml:space="preserve">ПЕРЕЧЕНЬ </w:t>
      </w:r>
      <w:r>
        <w:rPr>
          <w:caps w:val="1"/>
        </w:rPr>
        <w:t xml:space="preserve">ОСНОВНЫХ </w:t>
      </w:r>
      <w:r>
        <w:rPr>
          <w:caps w:val="1"/>
        </w:rPr>
        <w:t xml:space="preserve">НОРМАТИВНЫХ </w:t>
      </w:r>
      <w:r>
        <w:rPr>
          <w:caps w:val="1"/>
        </w:rPr>
        <w:t>И НОРМАТИВНО-ТЕХНИЧЕСКИХ ДОКУМЕНТОВ</w:t>
      </w:r>
    </w:p>
    <w:p w14:paraId="CD020000">
      <w:pPr>
        <w:pStyle w:val="Style_12"/>
        <w:ind w:firstLine="709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Федеральные законы</w:t>
      </w:r>
    </w:p>
    <w:p w14:paraId="CE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Градостроительный 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кодекс</w:t>
      </w:r>
      <w:r>
        <w:rPr>
          <w:rFonts w:ascii="Times New Roman" w:hAnsi="Times New Roman"/>
          <w:sz w:val="24"/>
        </w:rPr>
        <w:t xml:space="preserve"> Российской Федерации.</w:t>
      </w:r>
    </w:p>
    <w:p w14:paraId="CF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Федеральный 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от 06.10.2003 № 131-ФЗ «Об общих принципах организации местного самоуправления в Российской Федерации».</w:t>
      </w:r>
    </w:p>
    <w:p w14:paraId="D0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Федеральный 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от 28.06.2014 № 172-ФЗ «О стратегическом планировании в Российской Федерации».</w:t>
      </w:r>
    </w:p>
    <w:p w14:paraId="D1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Федеральный закон от 04.12.2007 № 329-ФЗ «О физической культуре и спорте в Российской Федерации».</w:t>
      </w:r>
    </w:p>
    <w:p w14:paraId="D2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Федеральный 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от 29.12.2012 № 273-ФЗ «Об обра</w:t>
      </w:r>
      <w:r>
        <w:rPr>
          <w:rFonts w:ascii="Times New Roman" w:hAnsi="Times New Roman"/>
          <w:sz w:val="24"/>
        </w:rPr>
        <w:t>зовании в Российской Федерации».</w:t>
      </w:r>
    </w:p>
    <w:p w14:paraId="D3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Федеральный закон от 29.12.1994 № 78-ФЗ «О библиотечном деле».</w:t>
      </w:r>
    </w:p>
    <w:p w14:paraId="D4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Федеральный закон от 26.05.1996 № 54-ФЗ «О Музейном фонде Российской Федерации и музеях в Российской Федерации».</w:t>
      </w:r>
    </w:p>
    <w:p w14:paraId="D5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Федеральный 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от 26.03.2003 № 35-ФЗ «Об электроэнергетике».</w:t>
      </w:r>
    </w:p>
    <w:p w14:paraId="D6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Федеральный 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от 31.03.1999 № 69-ФЗ «О газоснабжении в Российской Федерации».</w:t>
      </w:r>
    </w:p>
    <w:p w14:paraId="D7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Федеральный 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от 27.07.2010 № 190-ФЗ «О теплоснабжении».</w:t>
      </w:r>
    </w:p>
    <w:p w14:paraId="D8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Федеральный 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от 07.12.2011 № 416-ФЗ «О водоснабжении и водоотведении».</w:t>
      </w:r>
    </w:p>
    <w:p w14:paraId="D9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Федеральный 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</w:r>
    </w:p>
    <w:p w14:paraId="DA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Закон Российской Федерации от 09.10.1992 № 3612-1 «Основы законодательства Российской Федерации о культуре».</w:t>
      </w:r>
    </w:p>
    <w:p w14:paraId="DB020000">
      <w:pPr>
        <w:ind/>
        <w:jc w:val="center"/>
        <w:rPr>
          <w:b w:val="1"/>
        </w:rPr>
      </w:pPr>
      <w:r>
        <w:rPr>
          <w:b w:val="1"/>
        </w:rPr>
        <w:t>Иные нормативные акты Российской Федерации</w:t>
      </w:r>
    </w:p>
    <w:p w14:paraId="DC020000">
      <w:pPr>
        <w:widowControl w:val="0"/>
        <w:ind w:firstLine="709" w:left="0"/>
        <w:jc w:val="both"/>
      </w:pPr>
      <w:r>
        <w:t xml:space="preserve">Постановление Правительства </w:t>
      </w:r>
      <w:r>
        <w:t>Российской Федерации</w:t>
      </w:r>
      <w:r>
        <w:t xml:space="preserve"> от 16.12.2020 № 2122 «О расчетных показателях, подлежащих установлению в региональных нормативах градостроительного проектирования».</w:t>
      </w:r>
    </w:p>
    <w:p w14:paraId="DD020000">
      <w:pPr>
        <w:pStyle w:val="Style_12"/>
        <w:ind w:firstLine="709" w:left="0"/>
        <w:jc w:val="both"/>
        <w:rPr>
          <w:rStyle w:val="Style_20_ch"/>
          <w:rFonts w:ascii="Times New Roman" w:hAnsi="Times New Roman"/>
          <w:color w:val="000000"/>
          <w:sz w:val="24"/>
          <w:u w:val="none"/>
        </w:rPr>
      </w:pPr>
      <w:r>
        <w:rPr>
          <w:rStyle w:val="Style_20_ch"/>
          <w:rFonts w:ascii="Times New Roman" w:hAnsi="Times New Roman"/>
          <w:color w:val="000000"/>
          <w:sz w:val="24"/>
          <w:u w:val="none"/>
        </w:rPr>
        <w:t>Приказ Минэкономразвития России от 15.02.2021 № 71 «Об утверждении методических рекомендаций по подготовке нормативов гра</w:t>
      </w:r>
      <w:r>
        <w:rPr>
          <w:rStyle w:val="Style_20_ch"/>
          <w:rFonts w:ascii="Times New Roman" w:hAnsi="Times New Roman"/>
          <w:color w:val="000000"/>
          <w:sz w:val="24"/>
          <w:u w:val="none"/>
        </w:rPr>
        <w:t>достроительного проектирования».</w:t>
      </w:r>
    </w:p>
    <w:p w14:paraId="DE020000">
      <w:pPr>
        <w:pStyle w:val="Style_12"/>
        <w:ind w:firstLine="709" w:left="0"/>
        <w:jc w:val="both"/>
        <w:rPr>
          <w:rStyle w:val="Style_20_ch"/>
          <w:rFonts w:ascii="Times New Roman" w:hAnsi="Times New Roman"/>
          <w:color w:val="000000"/>
          <w:sz w:val="24"/>
          <w:u w:val="none"/>
        </w:rPr>
      </w:pPr>
      <w:r>
        <w:rPr>
          <w:rStyle w:val="Style_20_ch"/>
          <w:rFonts w:ascii="Times New Roman" w:hAnsi="Times New Roman"/>
          <w:color w:val="000000"/>
          <w:sz w:val="24"/>
          <w:u w:val="none"/>
        </w:rPr>
        <w:t>Приказ Минспорта России от 19.08.2021 № 649 «О рекомендованных нормативах и нормах обеспеченности населения объектами спортивной инфраструктуры».</w:t>
      </w:r>
    </w:p>
    <w:p w14:paraId="DF020000">
      <w:pPr>
        <w:pStyle w:val="Style_12"/>
        <w:ind w:firstLine="709" w:left="0"/>
        <w:jc w:val="both"/>
        <w:rPr>
          <w:rStyle w:val="Style_20_ch"/>
          <w:rFonts w:ascii="Times New Roman" w:hAnsi="Times New Roman"/>
          <w:color w:val="000000"/>
          <w:sz w:val="24"/>
          <w:u w:val="none"/>
        </w:rPr>
      </w:pPr>
      <w:r>
        <w:rPr>
          <w:rStyle w:val="Style_20_ch"/>
          <w:rFonts w:ascii="Times New Roman" w:hAnsi="Times New Roman"/>
          <w:color w:val="000000"/>
          <w:sz w:val="24"/>
          <w:u w:val="none"/>
        </w:rPr>
        <w:t>Распоряжение Минкультуры России от 02.08.2017 № Р-965 «Об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культуры».</w:t>
      </w:r>
    </w:p>
    <w:p w14:paraId="E0020000">
      <w:pPr>
        <w:pStyle w:val="Style_12"/>
        <w:ind w:firstLine="709" w:left="0"/>
        <w:jc w:val="both"/>
        <w:rPr>
          <w:rStyle w:val="Style_20_ch"/>
          <w:rFonts w:ascii="Times New Roman" w:hAnsi="Times New Roman"/>
          <w:color w:val="000000"/>
          <w:sz w:val="24"/>
          <w:u w:val="none"/>
        </w:rPr>
      </w:pPr>
      <w:r>
        <w:rPr>
          <w:rStyle w:val="Style_20_ch"/>
          <w:rFonts w:ascii="Times New Roman" w:hAnsi="Times New Roman"/>
          <w:color w:val="000000"/>
          <w:sz w:val="24"/>
          <w:u w:val="none"/>
        </w:rPr>
        <w:t>Письмо Минобрнауки России от 04.05.2016 № АК-950/02 «О методических рекомендациях».</w:t>
      </w:r>
    </w:p>
    <w:p w14:paraId="E1020000">
      <w:pPr>
        <w:ind/>
        <w:jc w:val="center"/>
      </w:pPr>
      <w:r>
        <w:rPr>
          <w:b w:val="1"/>
        </w:rPr>
        <w:t>Нормативные акты Омской области</w:t>
      </w:r>
    </w:p>
    <w:p w14:paraId="E2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Омской области от 09.03.2007 № 874-ОЗ «О регулировании градостроительной деятельности в Омской области».</w:t>
      </w:r>
    </w:p>
    <w:p w14:paraId="E3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Омской области от 15.10.2003 № 467-ОЗ «Об административно-территориальном устройстве Омской области и порядке его изменения».</w:t>
      </w:r>
    </w:p>
    <w:p w14:paraId="E4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Style w:val="Style_20_ch"/>
          <w:rFonts w:ascii="Times New Roman" w:hAnsi="Times New Roman"/>
          <w:color w:val="000000"/>
          <w:sz w:val="24"/>
          <w:u w:val="none"/>
        </w:rPr>
        <w:t>Закон</w:t>
      </w:r>
      <w:r>
        <w:rPr>
          <w:rFonts w:ascii="Times New Roman" w:hAnsi="Times New Roman"/>
          <w:sz w:val="24"/>
        </w:rPr>
        <w:t xml:space="preserve"> Омской области от 30.07.2004 № 548-ОЗ «О границах и статусе муниципальных образований Омской области».</w:t>
      </w:r>
    </w:p>
    <w:p w14:paraId="E5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Приказ Министерства строительства, транспорта и дорожного хозяйства Омской области от 08.07.2019 № 1-п «Об утверждении региональных нормативов градостроительного проектирования по Омской области»</w:t>
      </w:r>
      <w:r>
        <w:rPr>
          <w:rFonts w:ascii="Times New Roman" w:hAnsi="Times New Roman"/>
          <w:sz w:val="24"/>
        </w:rPr>
        <w:t>.</w:t>
      </w:r>
    </w:p>
    <w:p w14:paraId="E6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Приказ Региональной энергетической комиссии Омской области от 15.08.2012 </w:t>
      </w:r>
      <w:r>
        <w:rPr>
          <w:rFonts w:ascii="Times New Roman" w:hAnsi="Times New Roman"/>
          <w:sz w:val="24"/>
        </w:rPr>
        <w:t>№</w:t>
      </w:r>
      <w:r>
        <w:rPr>
          <w:rFonts w:ascii="Times New Roman" w:hAnsi="Times New Roman"/>
          <w:sz w:val="24"/>
        </w:rPr>
        <w:t> </w:t>
      </w:r>
      <w:r>
        <w:rPr>
          <w:rFonts w:ascii="Times New Roman" w:hAnsi="Times New Roman"/>
          <w:sz w:val="24"/>
        </w:rPr>
        <w:t>136/38 «Об утверждении нормативов потребления коммунальной услуги по электроснабжению на территории города Омска и Омской области».</w:t>
      </w:r>
    </w:p>
    <w:p w14:paraId="E7020000">
      <w:pPr>
        <w:pStyle w:val="Style_12"/>
        <w:ind w:firstLine="709" w:left="0"/>
        <w:jc w:val="both"/>
      </w:pPr>
      <w:r>
        <w:rPr>
          <w:rFonts w:ascii="Times New Roman" w:hAnsi="Times New Roman"/>
          <w:sz w:val="24"/>
        </w:rPr>
        <w:t>Приказ Региональной энергетической комиссии Омской области от 20.06.2016 №</w:t>
      </w:r>
      <w:r>
        <w:rPr>
          <w:rFonts w:ascii="Times New Roman" w:hAnsi="Times New Roman"/>
          <w:sz w:val="24"/>
        </w:rPr>
        <w:t> </w:t>
      </w:r>
      <w:r>
        <w:rPr>
          <w:rFonts w:ascii="Times New Roman" w:hAnsi="Times New Roman"/>
          <w:sz w:val="24"/>
        </w:rPr>
        <w:t>59/27 «Об утверждении нормативов потребления коммунальной услуги по отоплению на территории города Омска и Омской области»</w:t>
      </w:r>
      <w:r>
        <w:t>.</w:t>
      </w:r>
    </w:p>
    <w:p w14:paraId="E8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Приказ Региональной энергетической комиссии Омской области от 11.09.2014 №</w:t>
      </w:r>
      <w:r>
        <w:rPr>
          <w:rFonts w:ascii="Times New Roman" w:hAnsi="Times New Roman"/>
          <w:sz w:val="24"/>
        </w:rPr>
        <w:t> </w:t>
      </w:r>
      <w:r>
        <w:rPr>
          <w:rFonts w:ascii="Times New Roman" w:hAnsi="Times New Roman"/>
          <w:sz w:val="24"/>
        </w:rPr>
        <w:t>118/46 «Об утверждении нормативов потребления коммунальных услуг по холодному и горячему водоснабжению и водоотведению на территории города Омска и Омской области».</w:t>
      </w:r>
    </w:p>
    <w:p w14:paraId="E9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Приказ Региональной энергетической комиссии Омской области от 15.08.2012 №</w:t>
      </w:r>
      <w:r>
        <w:rPr>
          <w:rFonts w:ascii="Times New Roman" w:hAnsi="Times New Roman"/>
          <w:sz w:val="24"/>
        </w:rPr>
        <w:t> </w:t>
      </w:r>
      <w:r>
        <w:rPr>
          <w:rFonts w:ascii="Times New Roman" w:hAnsi="Times New Roman"/>
          <w:sz w:val="24"/>
        </w:rPr>
        <w:t>134/38 «Об утверждении нормативов потребления коммунальных услуг по газоснабжению на территории города Омска и Омской области».</w:t>
      </w:r>
    </w:p>
    <w:p w14:paraId="EA020000">
      <w:pPr>
        <w:ind/>
        <w:jc w:val="center"/>
        <w:rPr>
          <w:b w:val="1"/>
        </w:rPr>
      </w:pPr>
      <w:r>
        <w:rPr>
          <w:b w:val="1"/>
        </w:rPr>
        <w:t>Нормативные акты муниципального образования</w:t>
      </w:r>
    </w:p>
    <w:p w14:paraId="EB020000">
      <w:pPr>
        <w:pStyle w:val="Style_8"/>
        <w:spacing w:before="0"/>
        <w:ind w:firstLine="709" w:left="0"/>
      </w:pPr>
      <w:r>
        <w:t xml:space="preserve">Устав </w:t>
      </w:r>
      <w:r>
        <w:t>Полтавского</w:t>
      </w:r>
      <w:r>
        <w:t xml:space="preserve"> муницип</w:t>
      </w:r>
      <w:r>
        <w:t>ального района Омской области, принятый</w:t>
      </w:r>
      <w:r>
        <w:t xml:space="preserve"> </w:t>
      </w:r>
      <w:r>
        <w:t>решением</w:t>
      </w:r>
      <w:r>
        <w:t xml:space="preserve"> Совета депутатов</w:t>
      </w:r>
      <w:r>
        <w:t xml:space="preserve"> </w:t>
      </w:r>
      <w:r>
        <w:t>Полтавского</w:t>
      </w:r>
      <w:r>
        <w:t xml:space="preserve"> муниципального</w:t>
      </w:r>
      <w:r>
        <w:t xml:space="preserve"> </w:t>
      </w:r>
      <w:r>
        <w:t>образования</w:t>
      </w:r>
      <w:r>
        <w:t xml:space="preserve"> </w:t>
      </w:r>
      <w:r>
        <w:t xml:space="preserve">от </w:t>
      </w:r>
      <w:r>
        <w:t>23.06</w:t>
      </w:r>
      <w:r>
        <w:t>.2005</w:t>
      </w:r>
      <w:r>
        <w:t xml:space="preserve"> </w:t>
      </w:r>
      <w:r>
        <w:t>№</w:t>
      </w:r>
      <w:r>
        <w:t>29</w:t>
      </w:r>
    </w:p>
    <w:p w14:paraId="EC020000">
      <w:pPr>
        <w:ind/>
        <w:jc w:val="center"/>
      </w:pPr>
      <w:r>
        <w:rPr>
          <w:b w:val="1"/>
        </w:rPr>
        <w:t>Своды правил по проектированию и строительству</w:t>
      </w:r>
    </w:p>
    <w:p w14:paraId="ED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 42.13330.2016 «СНиП 2.07.01-89 Градостроительство. Планировка и застройка городских и сельских поселений».</w:t>
      </w:r>
    </w:p>
    <w:p w14:paraId="EE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 131.13330.</w:t>
      </w:r>
      <w:r>
        <w:rPr>
          <w:rFonts w:ascii="Times New Roman" w:hAnsi="Times New Roman"/>
          <w:sz w:val="24"/>
        </w:rPr>
        <w:t>2020 «</w:t>
      </w:r>
      <w:r>
        <w:rPr>
          <w:rFonts w:ascii="Times New Roman" w:hAnsi="Times New Roman"/>
          <w:sz w:val="24"/>
        </w:rPr>
        <w:t>СНиП 23-01-99Строительная климатология</w:t>
      </w:r>
      <w:r>
        <w:rPr>
          <w:rFonts w:ascii="Times New Roman" w:hAnsi="Times New Roman"/>
          <w:sz w:val="24"/>
        </w:rPr>
        <w:t>».</w:t>
      </w:r>
    </w:p>
    <w:p w14:paraId="EF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 251.1325800.2016 «Здания общеобразовательных организаций. Правила проектирования».</w:t>
      </w:r>
    </w:p>
    <w:p w14:paraId="F0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 252.1325800.2016 «Здания дошкольных общеобразовательных организаций. Правила проектирования»;</w:t>
      </w:r>
    </w:p>
    <w:p w14:paraId="F1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 124.13330.2012 «СНиП 41-02-2003 Тепловые сети».</w:t>
      </w:r>
    </w:p>
    <w:p w14:paraId="F2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 50.13330.2012 «СНиП 23-02-2003 Тепловая защита зданий».</w:t>
      </w:r>
    </w:p>
    <w:p w14:paraId="F3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 31.13330.2012 «СНиП 2.04.02-84 Водоснабжение. Наружные сети и сооружения».</w:t>
      </w:r>
    </w:p>
    <w:p w14:paraId="F4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 32.13330.2018 «СНиП 2.04.03-85 Канализация, наружные сети и сооружения».</w:t>
      </w:r>
    </w:p>
    <w:p w14:paraId="F5020000">
      <w:pPr>
        <w:pStyle w:val="Style_12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 42-101-2003 «Общие положения по проектированию и строительству газораспределительных систем из металлических и полиэтиленовых труб».</w:t>
      </w:r>
    </w:p>
    <w:p w14:paraId="F6020000">
      <w:pPr>
        <w:ind/>
        <w:jc w:val="center"/>
        <w:rPr>
          <w:b w:val="1"/>
        </w:rPr>
      </w:pPr>
      <w:r>
        <w:rPr>
          <w:b w:val="1"/>
        </w:rPr>
        <w:t>Санитарные правила и нормы, санитарные нормы</w:t>
      </w:r>
    </w:p>
    <w:p w14:paraId="F7020000">
      <w:pPr>
        <w:ind w:firstLine="709" w:left="0"/>
        <w:jc w:val="both"/>
      </w:pPr>
      <w:r>
        <w:t>СП 2.4.3648-20 «Санитарно-эпидемиологические требования к организациям воспитания и обучения, отдыха и оздоровления детей и молодежи».</w:t>
      </w:r>
    </w:p>
    <w:p w14:paraId="F8020000">
      <w:pPr>
        <w:ind/>
        <w:jc w:val="center"/>
        <w:rPr>
          <w:b w:val="1"/>
        </w:rPr>
      </w:pPr>
      <w:r>
        <w:rPr>
          <w:b w:val="1"/>
        </w:rPr>
        <w:t>Иные документы</w:t>
      </w:r>
    </w:p>
    <w:p w14:paraId="F9020000">
      <w:pPr>
        <w:ind w:firstLine="709" w:left="0"/>
        <w:jc w:val="both"/>
      </w:pPr>
      <w:r>
        <w:t>РД 34.20.185-94 «Инструкция по проектированию городских электрических сетей».</w:t>
      </w:r>
    </w:p>
    <w:p w14:paraId="FA020000">
      <w:pPr>
        <w:pStyle w:val="Style_19"/>
        <w:tabs>
          <w:tab w:leader="none" w:pos="360" w:val="clear"/>
          <w:tab w:leader="none" w:pos="993" w:val="left"/>
        </w:tabs>
        <w:spacing w:after="240" w:before="240" w:line="240" w:lineRule="auto"/>
        <w:ind w:firstLine="0" w:left="0"/>
        <w:jc w:val="center"/>
        <w:rPr>
          <w:caps w:val="1"/>
        </w:rPr>
      </w:pPr>
      <w:r>
        <w:rPr>
          <w:caps w:val="1"/>
        </w:rPr>
        <w:br w:type="page"/>
      </w:r>
    </w:p>
    <w:p w14:paraId="FB020000">
      <w:bookmarkStart w:id="22" w:name="__RefHeading___16"/>
      <w:bookmarkEnd w:id="22"/>
      <w:pPr>
        <w:pStyle w:val="Style_19"/>
        <w:tabs>
          <w:tab w:leader="none" w:pos="360" w:val="clear"/>
          <w:tab w:leader="none" w:pos="993" w:val="left"/>
        </w:tabs>
        <w:spacing w:after="240" w:before="240" w:line="240" w:lineRule="auto"/>
        <w:ind w:firstLine="0" w:left="0"/>
        <w:jc w:val="center"/>
        <w:rPr>
          <w:caps w:val="1"/>
        </w:rPr>
      </w:pPr>
      <w:r>
        <w:rPr>
          <w:caps w:val="1"/>
        </w:rPr>
        <w:t>ПРИЛОЖЕНИЕ Б. СХЕМА РАССЕЛЕНИЯ МУНИЦИПАЛЬНОГО РАЙОНА</w:t>
      </w:r>
    </w:p>
    <w:p w14:paraId="FC020000">
      <w:pPr>
        <w:ind/>
        <w:jc w:val="center"/>
        <w:rPr>
          <w:b w:val="1"/>
        </w:rPr>
      </w:pPr>
      <w:r>
        <w:drawing>
          <wp:inline>
            <wp:extent cx="5918524" cy="6098876"/>
            <wp:effectExtent b="0" l="0" r="0" t="0"/>
            <wp:docPr hidden="false" id="5" name="Picture 5"/>
            <a:graphic>
              <a:graphicData uri="http://schemas.openxmlformats.org/drawingml/2006/picture">
                <pic:pic>
                  <pic:nvPicPr>
                    <pic:cNvPr hidden="false" id="4" name="Picture 4"/>
                    <pic:cNvPicPr preferRelativeResize="true"/>
                  </pic:nvPicPr>
                  <pic:blipFill>
                    <a:blip r:embed="rId9"/>
                    <a:srcRect b="17312" l="1743" r="31306" t="3660"/>
                    <a:stretch/>
                  </pic:blipFill>
                  <pic:spPr>
                    <a:xfrm flipH="false" flipV="false" rot="0">
                      <a:ext cx="5918524" cy="6098876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FD020000">
      <w:pPr>
        <w:ind/>
        <w:jc w:val="center"/>
        <w:rPr>
          <w:b w:val="1"/>
        </w:rPr>
      </w:pPr>
    </w:p>
    <w:p w14:paraId="FE020000">
      <w:pPr>
        <w:ind/>
        <w:jc w:val="center"/>
        <w:rPr>
          <w:b w:val="1"/>
        </w:rPr>
      </w:pPr>
    </w:p>
    <w:p w14:paraId="FF020000">
      <w:pPr>
        <w:ind/>
        <w:jc w:val="center"/>
        <w:rPr>
          <w:b w:val="1"/>
        </w:rPr>
      </w:pPr>
    </w:p>
    <w:p w14:paraId="00030000">
      <w:pPr>
        <w:ind/>
        <w:jc w:val="center"/>
        <w:rPr>
          <w:b w:val="1"/>
        </w:rPr>
      </w:pPr>
    </w:p>
    <w:p w14:paraId="01030000">
      <w:pPr>
        <w:ind/>
        <w:jc w:val="center"/>
        <w:rPr>
          <w:b w:val="1"/>
        </w:rPr>
      </w:pPr>
    </w:p>
    <w:p w14:paraId="02030000">
      <w:pPr>
        <w:ind/>
        <w:jc w:val="center"/>
        <w:rPr>
          <w:b w:val="1"/>
        </w:rPr>
      </w:pPr>
    </w:p>
    <w:p w14:paraId="03030000">
      <w:pPr>
        <w:ind/>
        <w:jc w:val="center"/>
        <w:rPr>
          <w:b w:val="1"/>
        </w:rPr>
      </w:pPr>
    </w:p>
    <w:p w14:paraId="04030000">
      <w:pPr>
        <w:ind/>
        <w:jc w:val="center"/>
        <w:rPr>
          <w:b w:val="1"/>
          <w:sz w:val="20"/>
        </w:rPr>
      </w:pPr>
      <w:r>
        <w:rPr>
          <w:b w:val="1"/>
        </w:rPr>
        <w:t xml:space="preserve">Рисунок </w:t>
      </w:r>
      <w:r>
        <w:rPr>
          <w:b w:val="1"/>
        </w:rPr>
        <w:t>1</w:t>
      </w:r>
      <w:r>
        <w:rPr>
          <w:b w:val="1"/>
        </w:rPr>
        <w:t xml:space="preserve"> – Система расселения </w:t>
      </w:r>
      <w:r>
        <w:rPr>
          <w:b w:val="1"/>
        </w:rPr>
        <w:t>Полтавского</w:t>
      </w:r>
      <w:r>
        <w:rPr>
          <w:b w:val="1"/>
        </w:rPr>
        <w:t xml:space="preserve"> муниципального района</w:t>
      </w:r>
    </w:p>
    <w:p w14:paraId="05030000">
      <w:pPr>
        <w:sectPr>
          <w:headerReference r:id="rId3" w:type="default"/>
          <w:footerReference r:id="rId4" w:type="default"/>
          <w:pgSz w:h="16838" w:orient="portrait" w:w="11906"/>
          <w:pgMar w:bottom="1134" w:footer="544" w:gutter="0" w:header="425" w:left="1701" w:right="849" w:top="1134"/>
        </w:sectPr>
      </w:pPr>
    </w:p>
    <w:tbl>
      <w:tblPr>
        <w:tblStyle w:val="Style_1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80"/>
        <w:gridCol w:w="3497"/>
        <w:gridCol w:w="2977"/>
        <w:gridCol w:w="2410"/>
      </w:tblGrid>
      <w:tr>
        <w:trPr>
          <w:trHeight w:hRule="atLeast" w:val="230"/>
        </w:trPr>
        <w:tc>
          <w:tcPr>
            <w:tcW w:type="dxa" w:w="58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06030000">
            <w:pPr>
              <w:spacing w:line="216" w:lineRule="auto"/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№ п/п</w:t>
            </w:r>
          </w:p>
        </w:tc>
        <w:tc>
          <w:tcPr>
            <w:tcW w:type="dxa" w:w="349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07030000">
            <w:pPr>
              <w:spacing w:line="216" w:lineRule="auto"/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Центр групповой системы расселения/населенные пункты, входящие в групповую систему расселения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08030000">
            <w:pPr>
              <w:spacing w:line="216" w:lineRule="auto"/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Дифференциация населенных пунктов/групповых систем расселения по численности населения, человек</w:t>
            </w:r>
          </w:p>
        </w:tc>
        <w:tc>
          <w:tcPr>
            <w:tcW w:type="dxa" w:w="241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09030000">
            <w:pPr>
              <w:spacing w:line="216" w:lineRule="auto"/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Удаленность населенного пункта от центра групповой системы расселения, км</w:t>
            </w:r>
          </w:p>
        </w:tc>
      </w:tr>
      <w:tr>
        <w:trPr>
          <w:trHeight w:hRule="atLeast" w:val="230"/>
        </w:trPr>
        <w:tc>
          <w:tcPr>
            <w:tcW w:type="dxa" w:w="58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349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  <w:tc>
          <w:tcPr>
            <w:tcW w:type="dxa" w:w="24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/>
        </w:tc>
      </w:tr>
    </w:tbl>
    <w:p w14:paraId="0A030000">
      <w:pPr>
        <w:spacing w:line="20" w:lineRule="exact"/>
        <w:ind/>
      </w:pPr>
    </w:p>
    <w:tbl>
      <w:tblPr>
        <w:tblStyle w:val="Style_1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80"/>
        <w:gridCol w:w="3497"/>
        <w:gridCol w:w="2977"/>
        <w:gridCol w:w="2409"/>
      </w:tblGrid>
      <w:tr>
        <w:trPr>
          <w:trHeight w:hRule="atLeast" w:val="20"/>
          <w:tblHeader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B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1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C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2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D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3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E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4</w:t>
            </w:r>
          </w:p>
        </w:tc>
      </w:tr>
      <w:tr>
        <w:trPr>
          <w:trHeight w:hRule="atLeast" w:val="122"/>
        </w:trPr>
        <w:tc>
          <w:tcPr>
            <w:tcW w:type="dxa" w:w="9463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0F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Групповые системы расселения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1030000">
            <w:pPr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р.п. Полтавка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5000-10000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5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Малахово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1-50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3,5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9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Черноморка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200-500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3,5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D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п. Бельдеж № 7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E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50-100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1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п. Бельдеж № 12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200-500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9,5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5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п. Бельдеж № 3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500-1000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4,1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9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Увальное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50-100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D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с. Шахово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E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1030000">
            <w:pPr>
              <w:ind/>
              <w:jc w:val="right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итого по группе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2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5000-10000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3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 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5030000">
            <w:pPr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с. Красногорка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500-1000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9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Хмаровка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8,5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D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Белотурковка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E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1-50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12,0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1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Шаровка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50-100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5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с. Платово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9,9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9030000">
            <w:pPr>
              <w:ind/>
              <w:jc w:val="right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итого по группе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A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1000-2000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B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 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D030000">
            <w:pPr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с. Соловьевка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E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500-1000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1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Лубянск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200-500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12,0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5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Ольвиополь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50-100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6,9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9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Смелое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50-100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8,9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D030000">
            <w:pPr>
              <w:ind/>
              <w:jc w:val="right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итого по группе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E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1000-2000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1030000">
            <w:pPr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д. Краснопутиловка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200-500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5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Новосергеевка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9,2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9030000">
            <w:pPr>
              <w:ind/>
              <w:jc w:val="right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итого по группе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A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до 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B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 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D030000">
            <w:pPr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с. Еремеевка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E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1000-2000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1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Каменка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5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Коконовка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200-500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9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с. Гостиловка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12,0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D030000">
            <w:pPr>
              <w:ind/>
              <w:jc w:val="right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итого по группе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E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1000-2000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F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 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1030000">
            <w:pPr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с. Ольгино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1000-2000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5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Никополь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50-100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17,0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9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с. Георгиевка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200-500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D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Крым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E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1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Андрюшевка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50-100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7,4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5030000">
            <w:pPr>
              <w:ind/>
              <w:jc w:val="right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итого по группе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6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1000-2000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7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 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9030000">
            <w:pPr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с. Воронцовка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500-1000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D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Новотимофеевка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E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50-100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5,9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1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Святогорск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5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Щегловка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50-100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9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с. Никоновка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200-500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8,4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D030000">
            <w:pPr>
              <w:ind/>
              <w:jc w:val="right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итого по группе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E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1000-2000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F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 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1030000">
            <w:pPr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с. Вольное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500-1000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5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Бежевка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6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7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6,1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9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Длинное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100-200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D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Добрянка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E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200-500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1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Бородинка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1-50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11,0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5030000">
            <w:pPr>
              <w:ind/>
              <w:jc w:val="right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итого по группе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6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1000-2000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7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 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8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9030000">
            <w:pPr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с. Новоильиновка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A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500-1000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D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Терпенье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E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200-500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C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9,9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1030000">
            <w:pPr>
              <w:ind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Светиловка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2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1-50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7,5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5030000">
            <w:pPr>
              <w:ind/>
              <w:jc w:val="right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итого по группе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6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1000-2000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7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 </w:t>
            </w:r>
          </w:p>
        </w:tc>
      </w:tr>
      <w:tr>
        <w:trPr>
          <w:trHeight w:hRule="atLeast" w:val="20"/>
        </w:trPr>
        <w:tc>
          <w:tcPr>
            <w:tcW w:type="dxa" w:w="9463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8030000">
            <w:pPr>
              <w:ind/>
              <w:jc w:val="center"/>
              <w:rPr>
                <w:b w:val="1"/>
                <w:color w:val="000000"/>
                <w:sz w:val="20"/>
              </w:rPr>
            </w:pPr>
            <w:r>
              <w:rPr>
                <w:b w:val="1"/>
                <w:color w:val="000000"/>
                <w:sz w:val="20"/>
              </w:rPr>
              <w:t>Населенные пункты вне групповых систем расселения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9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A030000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Мечебилово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B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C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D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E030000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Новотроицк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F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E0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5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bottom"/>
          </w:tcPr>
          <w:p w14:paraId="E1030000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type="dxa" w:w="349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E2030000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д. Новоколомзино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E3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E4030000">
            <w:pPr>
              <w:ind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</w:tbl>
    <w:p w14:paraId="E5030000"/>
    <w:p w14:paraId="E6030000"/>
    <w:sectPr>
      <w:headerReference r:id="rId5" w:type="default"/>
      <w:footerReference r:id="rId6" w:type="default"/>
      <w:pgSz w:h="16838" w:orient="portrait" w:w="11906"/>
      <w:pgMar w:bottom="1134" w:footer="544" w:gutter="0" w:header="425" w:left="1701" w:right="849" w:top="142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2000000">
    <w:pPr>
      <w:pStyle w:val="Style_2"/>
      <w:ind/>
      <w:jc w:val="center"/>
    </w:pP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4000000">
    <w:pPr>
      <w:pStyle w:val="Style_2"/>
      <w:tabs>
        <w:tab w:leader="none" w:pos="6463" w:val="left"/>
        <w:tab w:leader="none" w:pos="9355" w:val="clear"/>
        <w:tab w:leader="none" w:pos="9639" w:val="right"/>
        <w:tab w:leader="none" w:pos="14714" w:val="right"/>
      </w:tabs>
      <w:ind w:right="-2"/>
      <w:jc w:val="center"/>
    </w:pPr>
    <w:r>
      <w:fldChar w:fldCharType="begin"/>
    </w:r>
    <w:r>
      <w:instrText>PAGE \* Arabic</w:instrText>
    </w:r>
    <w:r>
      <w:fldChar w:fldCharType="separate"/>
    </w:r>
    <w:r>
      <w:t xml:space="preserve"> </w:t>
    </w:r>
    <w:r>
      <w:fldChar w:fldCharType="end"/>
    </w:r>
    <w:r>
      <mc:AlternateContent>
        <mc:Choice Requires="wpg">
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<wp:anchor allowOverlap="true" behindDoc="true" layoutInCell="true" locked="false" relativeHeight="251658240" simplePos="false">
              <wp:simplePos x="0" y="0"/>
              <wp:positionH relativeFrom="column">
                <wp:posOffset>10160</wp:posOffset>
              </wp:positionH>
              <wp:positionV relativeFrom="paragraph">
                <wp:posOffset>6075680</wp:posOffset>
              </wp:positionV>
              <wp:extent cx="6347460" cy="307340"/>
              <wp:wrapNone/>
              <wp:docPr hidden="false" id="1" name="Picture 1"/>
              <a:graphic>
                <a:graphicData uri="http://schemas.microsoft.com/office/word/2010/wordprocessingGroup">
                  <wpg:wgp>
                    <wpg:cNvGrpSpPr/>
                    <wpg:grpSpPr>
                      <a:xfrm flipH="false" flipV="false" rot="0">
                        <a:off x="0" y="0"/>
                        <a:ext cx="6347460" cy="307340"/>
                        <a:chOff x="0" y="0"/>
                        <a:chExt cx="6347460" cy="307340"/>
                      </a:xfrm>
                    </wpg:grpSpPr>
                    <wps:wsp>
                      <wps:cNvSpPr txBox="false"/>
                      <wps:spPr>
                        <a:xfrm flipH="false" flipV="false" rot="0">
                          <a:off x="6053417" y="3277"/>
                          <a:ext cx="294042" cy="304061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5000000">
                            <w:pPr>
                              <w:pStyle w:val="Style_3"/>
                              <w:ind w:firstLine="0" w:left="-284" w:right="-261"/>
                              <w:rPr>
                                <w:rFonts w:ascii="Times New Roman" w:hAnsi="Times New Roman"/>
                                <w:color w:val="FFFFFF"/>
                                <w:spacing w:val="0"/>
                              </w:rPr>
                            </w:pPr>
                          </w:p>
                        </w:txbxContent>
                      </wps:txbx>
                      <wps:bodyPr anchor="t" bIns="45720" lIns="91440" rIns="91440" tIns="45720">
                        <a:noAutofit/>
                      </wps:bodyPr>
                    </wps:wsp>
                    <wps:wsp>
                      <wps:cNvSpPr txBox="false"/>
                      <wps:spPr>
                        <a:xfrm flipH="false" flipV="false" rot="0">
                          <a:off x="0" y="0"/>
                          <a:ext cx="6346796" cy="3277"/>
                        </a:xfrm>
                        <a:custGeom>
                          <a:avLst/>
                          <a:gdLst>
                            <a:gd fmla="val 0" name="COTextRectL"/>
                            <a:gd fmla="val 0" name="COTextRectT"/>
                            <a:gd fmla="val 1" name="COTextRectR"/>
                            <a:gd fmla="val 1" name="COTextRectB"/>
                            <a:gd fmla="val 0" name="ODFLeft"/>
                            <a:gd fmla="val 0" name="ODFTop"/>
                            <a:gd fmla="val 21600" name="ODFRight"/>
                            <a:gd fmla="val 21600" name="ODFBottom"/>
                            <a:gd fmla="val 21600" name="ODFWidth"/>
                            <a:gd fmla="val 21600" name="ODFHeight"/>
                            <a:gd fmla="*/ COTextRectL w 1" name="OXMLTextRectL"/>
                            <a:gd fmla="*/ COTextRectT h 1" name="OXMLTextRectT"/>
                            <a:gd fmla="*/ COTextRectR w 1" name="OXMLTextRectR"/>
                            <a:gd fmla="*/ COTextRectB h 1" name="OXMLTextRectB"/>
                          </a:gdLst>
                          <a:rect b="OXMLTextRectB" l="OXMLTextRectL" r="OXMLTextRectR" t="OXMLTextRectT"/>
                          <a:pathLst>
                            <a:path fill="norm" h="21600" stroke="true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rgbClr val="0070C0"/>
                          </a:solidFill>
                          <a:prstDash val="solid"/>
                        </a:ln>
                      </wps:spPr>
                      <wps:bodyPr anchor="t" bIns="45720" lIns="91440" rIns="91440" tIns="4572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</mc:Fallback>
      </mc:AlternateContent>
    </w:r>
  </w:p>
</w:ftr>
</file>

<file path=word/footer6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7000000">
    <w:pPr>
      <w:pStyle w:val="Style_2"/>
      <w:tabs>
        <w:tab w:leader="none" w:pos="6463" w:val="left"/>
        <w:tab w:leader="none" w:pos="9355" w:val="clear"/>
        <w:tab w:leader="none" w:pos="9639" w:val="right"/>
        <w:tab w:leader="none" w:pos="14714" w:val="right"/>
      </w:tabs>
      <w:ind w:right="-2"/>
      <w:jc w:val="center"/>
    </w:pPr>
    <w:r>
      <w:fldChar w:fldCharType="begin"/>
    </w:r>
    <w:r>
      <w:instrText>PAGE \* Arabic</w:instrText>
    </w:r>
    <w:r>
      <w:fldChar w:fldCharType="separate"/>
    </w:r>
    <w:r>
      <w:t xml:space="preserve"> </w:t>
    </w:r>
    <w:r>
      <w:fldChar w:fldCharType="end"/>
    </w:r>
    <w:r>
      <mc:AlternateContent>
        <mc:Choice Requires="wpg">
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<wp:anchor allowOverlap="true" behindDoc="true" layoutInCell="true" locked="false" relativeHeight="251658240" simplePos="false">
              <wp:simplePos x="0" y="0"/>
              <wp:positionH relativeFrom="column">
                <wp:posOffset>10160</wp:posOffset>
              </wp:positionH>
              <wp:positionV relativeFrom="paragraph">
                <wp:posOffset>6075680</wp:posOffset>
              </wp:positionV>
              <wp:extent cx="6347460" cy="307340"/>
              <wp:wrapNone/>
              <wp:docPr hidden="false" id="2" name="Picture 2"/>
              <a:graphic>
                <a:graphicData uri="http://schemas.microsoft.com/office/word/2010/wordprocessingGroup">
                  <wpg:wgp>
                    <wpg:cNvGrpSpPr/>
                    <wpg:grpSpPr>
                      <a:xfrm flipH="false" flipV="false" rot="0">
                        <a:off x="0" y="0"/>
                        <a:ext cx="6347460" cy="307340"/>
                        <a:chOff x="0" y="0"/>
                        <a:chExt cx="6347460" cy="307340"/>
                      </a:xfrm>
                    </wpg:grpSpPr>
                    <wps:wsp>
                      <wps:cNvSpPr txBox="false"/>
                      <wps:spPr>
                        <a:xfrm flipH="false" flipV="false" rot="0">
                          <a:off x="6053417" y="3277"/>
                          <a:ext cx="294042" cy="304061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8000000">
                            <w:pPr>
                              <w:pStyle w:val="Style_3"/>
                              <w:ind w:firstLine="0" w:left="-284" w:right="-261"/>
                              <w:rPr>
                                <w:rFonts w:ascii="Times New Roman" w:hAnsi="Times New Roman"/>
                                <w:color w:val="FFFFFF"/>
                                <w:spacing w:val="0"/>
                              </w:rPr>
                            </w:pPr>
                          </w:p>
                        </w:txbxContent>
                      </wps:txbx>
                      <wps:bodyPr anchor="t" bIns="45720" lIns="91440" rIns="91440" tIns="45720">
                        <a:noAutofit/>
                      </wps:bodyPr>
                    </wps:wsp>
                    <wps:wsp>
                      <wps:cNvSpPr txBox="false"/>
                      <wps:spPr>
                        <a:xfrm flipH="false" flipV="false" rot="0">
                          <a:off x="0" y="0"/>
                          <a:ext cx="6346796" cy="3277"/>
                        </a:xfrm>
                        <a:custGeom>
                          <a:avLst/>
                          <a:gdLst>
                            <a:gd fmla="val 0" name="COTextRectL"/>
                            <a:gd fmla="val 0" name="COTextRectT"/>
                            <a:gd fmla="val 1" name="COTextRectR"/>
                            <a:gd fmla="val 1" name="COTextRectB"/>
                            <a:gd fmla="val 0" name="ODFLeft"/>
                            <a:gd fmla="val 0" name="ODFTop"/>
                            <a:gd fmla="val 21600" name="ODFRight"/>
                            <a:gd fmla="val 21600" name="ODFBottom"/>
                            <a:gd fmla="val 21600" name="ODFWidth"/>
                            <a:gd fmla="val 21600" name="ODFHeight"/>
                            <a:gd fmla="*/ COTextRectL w 1" name="OXMLTextRectL"/>
                            <a:gd fmla="*/ COTextRectT h 1" name="OXMLTextRectT"/>
                            <a:gd fmla="*/ COTextRectR w 1" name="OXMLTextRectR"/>
                            <a:gd fmla="*/ COTextRectB h 1" name="OXMLTextRectB"/>
                          </a:gdLst>
                          <a:rect b="OXMLTextRectB" l="OXMLTextRectL" r="OXMLTextRectR" t="OXMLTextRectT"/>
                          <a:pathLst>
                            <a:path fill="norm" h="21600" stroke="true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rgbClr val="0070C0"/>
                          </a:solidFill>
                          <a:prstDash val="solid"/>
                        </a:ln>
                      </wps:spPr>
                      <wps:bodyPr anchor="t" bIns="45720" lIns="91440" rIns="91440" tIns="4572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</mc:Fallback>
      </mc:AlternateContent>
    </w:r>
  </w:p>
</w:ftr>
</file>

<file path=word/footer8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A000000">
    <w:pPr>
      <w:pStyle w:val="Style_2"/>
      <w:tabs>
        <w:tab w:leader="none" w:pos="6463" w:val="left"/>
        <w:tab w:leader="none" w:pos="9355" w:val="clear"/>
        <w:tab w:leader="none" w:pos="9639" w:val="right"/>
        <w:tab w:leader="none" w:pos="14714" w:val="right"/>
      </w:tabs>
      <w:ind w:right="-2"/>
      <w:jc w:val="center"/>
    </w:pPr>
    <w:r>
      <w:fldChar w:fldCharType="begin"/>
    </w:r>
    <w:r>
      <w:instrText>PAGE \* Arabic</w:instrText>
    </w:r>
    <w:r>
      <w:fldChar w:fldCharType="separate"/>
    </w:r>
    <w:r>
      <w:t xml:space="preserve"> </w:t>
    </w:r>
    <w:r>
      <w:fldChar w:fldCharType="end"/>
    </w:r>
    <w:r>
      <mc:AlternateContent>
        <mc:Choice Requires="wpg">
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<wp:anchor allowOverlap="true" behindDoc="true" layoutInCell="true" locked="false" relativeHeight="251658240" simplePos="false">
              <wp:simplePos x="0" y="0"/>
              <wp:positionH relativeFrom="column">
                <wp:posOffset>10160</wp:posOffset>
              </wp:positionH>
              <wp:positionV relativeFrom="paragraph">
                <wp:posOffset>6075680</wp:posOffset>
              </wp:positionV>
              <wp:extent cx="6347460" cy="307340"/>
              <wp:wrapNone/>
              <wp:docPr hidden="false" id="3" name="Picture 3"/>
              <a:graphic>
                <a:graphicData uri="http://schemas.microsoft.com/office/word/2010/wordprocessingGroup">
                  <wpg:wgp>
                    <wpg:cNvGrpSpPr/>
                    <wpg:grpSpPr>
                      <a:xfrm flipH="false" flipV="false" rot="0">
                        <a:off x="0" y="0"/>
                        <a:ext cx="6347460" cy="307340"/>
                        <a:chOff x="0" y="0"/>
                        <a:chExt cx="6347460" cy="307340"/>
                      </a:xfrm>
                    </wpg:grpSpPr>
                    <wps:wsp>
                      <wps:cNvSpPr txBox="false"/>
                      <wps:spPr>
                        <a:xfrm flipH="false" flipV="false" rot="0">
                          <a:off x="6053417" y="3277"/>
                          <a:ext cx="294042" cy="304061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B000000">
                            <w:pPr>
                              <w:pStyle w:val="Style_3"/>
                              <w:ind w:firstLine="0" w:left="-284" w:right="-261"/>
                              <w:rPr>
                                <w:rFonts w:ascii="Times New Roman" w:hAnsi="Times New Roman"/>
                                <w:color w:val="FFFFFF"/>
                                <w:spacing w:val="0"/>
                              </w:rPr>
                            </w:pPr>
                          </w:p>
                        </w:txbxContent>
                      </wps:txbx>
                      <wps:bodyPr anchor="t" bIns="45720" lIns="91440" rIns="91440" tIns="45720">
                        <a:noAutofit/>
                      </wps:bodyPr>
                    </wps:wsp>
                    <wps:wsp>
                      <wps:cNvSpPr txBox="false"/>
                      <wps:spPr>
                        <a:xfrm flipH="false" flipV="false" rot="0">
                          <a:off x="0" y="0"/>
                          <a:ext cx="6346796" cy="3277"/>
                        </a:xfrm>
                        <a:custGeom>
                          <a:avLst/>
                          <a:gdLst>
                            <a:gd fmla="val 0" name="COTextRectL"/>
                            <a:gd fmla="val 0" name="COTextRectT"/>
                            <a:gd fmla="val 1" name="COTextRectR"/>
                            <a:gd fmla="val 1" name="COTextRectB"/>
                            <a:gd fmla="val 0" name="ODFLeft"/>
                            <a:gd fmla="val 0" name="ODFTop"/>
                            <a:gd fmla="val 21600" name="ODFRight"/>
                            <a:gd fmla="val 21600" name="ODFBottom"/>
                            <a:gd fmla="val 21600" name="ODFWidth"/>
                            <a:gd fmla="val 21600" name="ODFHeight"/>
                            <a:gd fmla="*/ COTextRectL w 1" name="OXMLTextRectL"/>
                            <a:gd fmla="*/ COTextRectT h 1" name="OXMLTextRectT"/>
                            <a:gd fmla="*/ COTextRectR w 1" name="OXMLTextRectR"/>
                            <a:gd fmla="*/ COTextRectB h 1" name="OXMLTextRectB"/>
                          </a:gdLst>
                          <a:rect b="OXMLTextRectB" l="OXMLTextRectL" r="OXMLTextRectR" t="OXMLTextRectT"/>
                          <a:pathLst>
                            <a:path fill="norm" h="21600" stroke="true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rgbClr val="0070C0"/>
                          </a:solidFill>
                          <a:prstDash val="solid"/>
                        </a:ln>
                      </wps:spPr>
                      <wps:bodyPr anchor="t" bIns="45720" lIns="91440" rIns="91440" tIns="4572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</mc:Fallback>
      </mc:AlternateContent>
    </w: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</w:pPr>
  </w:p>
</w:hdr>
</file>

<file path=word/header5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6000000">
    <w:pPr>
      <w:pStyle w:val="Style_1"/>
    </w:pPr>
  </w:p>
</w:hdr>
</file>

<file path=word/header7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9000000">
    <w:pPr>
      <w:pStyle w:val="Style_1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"/>
      <w:lvlJc w:val="left"/>
      <w:pPr>
        <w:ind w:hanging="432" w:left="432"/>
      </w:pPr>
    </w:lvl>
    <w:lvl w:ilvl="1">
      <w:start w:val="1"/>
      <w:numFmt w:val="decimal"/>
      <w:lvlText w:val="%1.%2"/>
      <w:lvlJc w:val="left"/>
      <w:pPr>
        <w:ind w:hanging="576" w:left="1853"/>
      </w:pPr>
      <w:rPr>
        <w:b w:val="1"/>
        <w:sz w:val="24"/>
      </w:rPr>
    </w:lvl>
    <w:lvl w:ilvl="2">
      <w:start w:val="1"/>
      <w:numFmt w:val="decimal"/>
      <w:lvlText w:val="%1.%2.%3"/>
      <w:lvlJc w:val="left"/>
      <w:pPr>
        <w:ind w:hanging="720" w:left="720"/>
      </w:pPr>
    </w:lvl>
    <w:lvl w:ilvl="3">
      <w:start w:val="1"/>
      <w:numFmt w:val="decimal"/>
      <w:lvlText w:val="%1.%2.%3.%4"/>
      <w:lvlJc w:val="left"/>
      <w:pPr>
        <w:ind w:hanging="864" w:left="864"/>
      </w:pPr>
    </w:lvl>
    <w:lvl w:ilvl="4">
      <w:start w:val="1"/>
      <w:numFmt w:val="decimal"/>
      <w:lvlText w:val="%1.%2.%3.%4.%5"/>
      <w:lvlJc w:val="left"/>
      <w:pPr>
        <w:ind w:hanging="1008" w:left="1008"/>
      </w:pPr>
    </w:lvl>
    <w:lvl w:ilvl="5">
      <w:start w:val="1"/>
      <w:numFmt w:val="decimal"/>
      <w:lvlText w:val="%1.%2.%3.%4.%5.%6"/>
      <w:lvlJc w:val="left"/>
      <w:pPr>
        <w:ind w:hanging="1152" w:left="1152"/>
      </w:pPr>
    </w:lvl>
    <w:lvl w:ilvl="6">
      <w:start w:val="1"/>
      <w:numFmt w:val="decimal"/>
      <w:lvlText w:val="%1.%2.%3.%4.%5.%6.%7"/>
      <w:lvlJc w:val="left"/>
      <w:pPr>
        <w:ind w:hanging="1296" w:left="1296"/>
      </w:pPr>
    </w:lvl>
    <w:lvl w:ilvl="7">
      <w:start w:val="1"/>
      <w:numFmt w:val="decimal"/>
      <w:lvlText w:val="%1.%2.%3.%4.%5.%6.%7.%8"/>
      <w:lvlJc w:val="left"/>
      <w:pPr>
        <w:ind w:hanging="1440" w:left="1440"/>
      </w:pPr>
    </w:lvl>
    <w:lvl w:ilvl="8">
      <w:start w:val="1"/>
      <w:numFmt w:val="decimal"/>
      <w:lvlText w:val="%1.%2.%3.%4.%5.%6.%7.%8.%9"/>
      <w:lvlJc w:val="left"/>
      <w:pPr>
        <w:ind w:hanging="1584" w:left="1584"/>
      </w:pPr>
    </w:lvl>
  </w:abstractNum>
  <w:abstractNum w:abstractNumId="1">
    <w:lvl w:ilvl="0">
      <w:start w:val="1"/>
      <w:numFmt w:val="bullet"/>
      <w:lvlText w:val=""/>
      <w:lvlJc w:val="left"/>
      <w:pPr>
        <w:ind w:hanging="360" w:left="1429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hanging="360" w:left="2149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869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3589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4309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5029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749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6469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7189"/>
      </w:pPr>
      <w:rPr>
        <w:rFonts w:ascii="Wingdings" w:hAnsi="Wingdings"/>
      </w:rPr>
    </w:lvl>
  </w:abstractNum>
  <w:abstractNum w:abstractNumId="2">
    <w:lvl w:ilvl="0">
      <w:start w:val="1"/>
      <w:numFmt w:val="decimal"/>
      <w:lvlText w:val="%1."/>
      <w:lvlJc w:val="left"/>
      <w:pPr>
        <w:ind w:hanging="360" w:left="720"/>
      </w:pPr>
      <w:rPr>
        <w:color w:val="000000"/>
      </w:r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3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4">
    <w:lvl w:ilvl="0">
      <w:start w:val="1"/>
      <w:numFmt w:val="bullet"/>
      <w:lvlText w:val="−"/>
      <w:lvlJc w:val="left"/>
      <w:pPr>
        <w:ind w:hanging="360" w:left="1429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hanging="360" w:left="2149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869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3589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4309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5029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749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6469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7189"/>
      </w:pPr>
      <w:rPr>
        <w:rFonts w:ascii="Wingdings" w:hAnsi="Wingdings"/>
      </w:rPr>
    </w:lvl>
  </w:abstractNum>
  <w:abstractNum w:abstractNumId="5">
    <w:lvl w:ilvl="0">
      <w:start w:val="1"/>
      <w:numFmt w:val="decimal"/>
      <w:lvlText w:val="%1."/>
      <w:lvlJc w:val="left"/>
      <w:pPr>
        <w:ind w:hanging="360" w:left="791"/>
      </w:pPr>
    </w:lvl>
    <w:lvl w:ilvl="1">
      <w:start w:val="1"/>
      <w:numFmt w:val="decimal"/>
      <w:lvlText w:val="%1.%2"/>
      <w:lvlJc w:val="left"/>
      <w:pPr>
        <w:ind w:firstLine="567" w:left="0"/>
      </w:pPr>
      <w:rPr>
        <w:rFonts w:ascii="Times New Roman" w:hAnsi="Times New Roman"/>
        <w:i w:val="0"/>
        <w:caps w:val="0"/>
        <w:smallCaps w:val="0"/>
        <w:strike w:val="0"/>
        <w:color w:val="000000"/>
        <w:spacing w:val="0"/>
        <w:u w:val="none"/>
      </w:rPr>
    </w:lvl>
    <w:lvl w:ilvl="2">
      <w:start w:val="1"/>
      <w:numFmt w:val="decimal"/>
      <w:pStyle w:val="Style_69"/>
      <w:lvlText w:val="%1.%2.%3"/>
      <w:lvlJc w:val="left"/>
      <w:pPr>
        <w:ind w:firstLine="567" w:left="-567"/>
      </w:pPr>
      <w:rPr>
        <w:sz w:val="28"/>
      </w:rPr>
    </w:lvl>
    <w:lvl w:ilvl="3">
      <w:start w:val="1"/>
      <w:numFmt w:val="decimal"/>
      <w:pStyle w:val="Style_237"/>
      <w:lvlText w:val="%1.%2.%3.%4"/>
      <w:lvlJc w:val="left"/>
      <w:pPr>
        <w:ind w:firstLine="567" w:left="426"/>
      </w:pPr>
    </w:lvl>
    <w:lvl w:ilvl="4">
      <w:start w:val="1"/>
      <w:numFmt w:val="decimal"/>
      <w:lvlText w:val="%1.%2.%3.%4.%5"/>
      <w:lvlJc w:val="left"/>
      <w:pPr>
        <w:ind w:firstLine="567" w:left="0"/>
      </w:pPr>
    </w:lvl>
    <w:lvl w:ilvl="5">
      <w:start w:val="1"/>
      <w:numFmt w:val="decimal"/>
      <w:pStyle w:val="Style_252"/>
      <w:lvlText w:val="%1.%2.%3.%4.%5.%6"/>
      <w:lvlJc w:val="left"/>
      <w:pPr>
        <w:ind w:firstLine="567" w:left="0"/>
      </w:pPr>
    </w:lvl>
    <w:lvl w:ilvl="6">
      <w:start w:val="1"/>
      <w:numFmt w:val="decimal"/>
      <w:pStyle w:val="Style_43"/>
      <w:lvlText w:val="%1.%2.%3.%4.%5.%6.%7"/>
      <w:lvlJc w:val="left"/>
      <w:pPr>
        <w:ind w:firstLine="567" w:left="0"/>
      </w:pPr>
    </w:lvl>
    <w:lvl w:ilvl="7">
      <w:start w:val="1"/>
      <w:numFmt w:val="decimal"/>
      <w:pStyle w:val="Style_167"/>
      <w:lvlText w:val="%1.%2.%3.%4.%5.%6.%7.%8"/>
      <w:lvlJc w:val="left"/>
      <w:pPr>
        <w:ind w:firstLine="567" w:left="0"/>
      </w:pPr>
    </w:lvl>
    <w:lvl w:ilvl="8">
      <w:start w:val="1"/>
      <w:numFmt w:val="decimal"/>
      <w:pStyle w:val="Style_93"/>
      <w:lvlText w:val="%1.%2.%3.%4.%5.%6.%7.%8.%9"/>
      <w:lvlJc w:val="left"/>
      <w:pPr>
        <w:ind w:firstLine="567" w:left="0"/>
      </w:pPr>
    </w:lvl>
  </w:abstractNum>
  <w:abstractNum w:abstractNumId="6">
    <w:lvl w:ilvl="0">
      <w:start w:val="1"/>
      <w:numFmt w:val="bullet"/>
      <w:pStyle w:val="Style_75"/>
      <w:lvlText w:val=""/>
      <w:lvlJc w:val="left"/>
      <w:pPr>
        <w:tabs>
          <w:tab w:leader="none" w:pos="1427" w:val="left"/>
        </w:tabs>
        <w:ind w:firstLine="720" w:left="180"/>
      </w:pPr>
      <w:rPr>
        <w:rFonts w:ascii="Symbol" w:hAnsi="Symbol"/>
        <w:color w:val="000000"/>
      </w:rPr>
    </w:lvl>
    <w:lvl w:ilvl="1">
      <w:start w:val="4"/>
      <w:numFmt w:val="decimal"/>
      <w:lvlText w:val="%2."/>
      <w:lvlJc w:val="left"/>
      <w:pPr>
        <w:tabs>
          <w:tab w:leader="none" w:pos="2160" w:val="left"/>
        </w:tabs>
        <w:ind w:hanging="360" w:left="2160"/>
      </w:pPr>
    </w:lvl>
    <w:lvl w:ilvl="2">
      <w:start w:val="1"/>
      <w:numFmt w:val="lowerRoman"/>
      <w:lvlText w:val="%3."/>
      <w:lvlJc w:val="right"/>
      <w:pPr>
        <w:tabs>
          <w:tab w:leader="none" w:pos="2880" w:val="left"/>
        </w:tabs>
        <w:ind w:hanging="180" w:left="2880"/>
      </w:pPr>
    </w:lvl>
    <w:lvl w:ilvl="3">
      <w:start w:val="1"/>
      <w:numFmt w:val="decimal"/>
      <w:lvlText w:val="%4."/>
      <w:lvlJc w:val="left"/>
      <w:pPr>
        <w:tabs>
          <w:tab w:leader="none" w:pos="3600" w:val="left"/>
        </w:tabs>
        <w:ind w:hanging="360" w:left="3600"/>
      </w:pPr>
    </w:lvl>
    <w:lvl w:ilvl="4">
      <w:start w:val="1"/>
      <w:numFmt w:val="lowerLetter"/>
      <w:lvlText w:val="%5."/>
      <w:lvlJc w:val="left"/>
      <w:pPr>
        <w:tabs>
          <w:tab w:leader="none" w:pos="4320" w:val="left"/>
        </w:tabs>
        <w:ind w:hanging="360" w:left="4320"/>
      </w:pPr>
    </w:lvl>
    <w:lvl w:ilvl="5">
      <w:start w:val="1"/>
      <w:numFmt w:val="lowerRoman"/>
      <w:lvlText w:val="%6."/>
      <w:lvlJc w:val="right"/>
      <w:pPr>
        <w:tabs>
          <w:tab w:leader="none" w:pos="5040" w:val="left"/>
        </w:tabs>
        <w:ind w:hanging="180" w:left="5040"/>
      </w:pPr>
    </w:lvl>
    <w:lvl w:ilvl="6">
      <w:start w:val="1"/>
      <w:numFmt w:val="decimal"/>
      <w:lvlText w:val="%7."/>
      <w:lvlJc w:val="left"/>
      <w:pPr>
        <w:tabs>
          <w:tab w:leader="none" w:pos="5760" w:val="left"/>
        </w:tabs>
        <w:ind w:hanging="360" w:left="5760"/>
      </w:pPr>
    </w:lvl>
    <w:lvl w:ilvl="7">
      <w:start w:val="1"/>
      <w:numFmt w:val="lowerLetter"/>
      <w:lvlText w:val="%8."/>
      <w:lvlJc w:val="left"/>
      <w:pPr>
        <w:tabs>
          <w:tab w:leader="none" w:pos="6480" w:val="left"/>
        </w:tabs>
        <w:ind w:hanging="360" w:left="6480"/>
      </w:pPr>
    </w:lvl>
    <w:lvl w:ilvl="8">
      <w:start w:val="1"/>
      <w:numFmt w:val="lowerRoman"/>
      <w:lvlText w:val="%9."/>
      <w:lvlJc w:val="right"/>
      <w:pPr>
        <w:tabs>
          <w:tab w:leader="none" w:pos="7200" w:val="left"/>
        </w:tabs>
        <w:ind w:hanging="180" w:left="7200"/>
      </w:pPr>
    </w:lvl>
  </w:abstractNum>
  <w:abstractNum w:abstractNumId="7">
    <w:lvl w:ilvl="0">
      <w:start w:val="1"/>
      <w:numFmt w:val="decimal"/>
      <w:lvlText w:val="1.%1"/>
      <w:lvlJc w:val="left"/>
      <w:pPr>
        <w:ind w:hanging="360" w:left="927"/>
      </w:pPr>
      <w:rPr>
        <w:b w:val="0"/>
        <w:i w:val="1"/>
        <w:caps w:val="0"/>
        <w:smallCaps w:val="0"/>
        <w:strike w:val="0"/>
        <w:color w:val="000000"/>
        <w:spacing w:val="0"/>
        <w:sz w:val="24"/>
        <w:u w:val="none"/>
      </w:rPr>
    </w:lvl>
    <w:lvl w:ilvl="1">
      <w:start w:val="1"/>
      <w:numFmt w:val="decimal"/>
      <w:pStyle w:val="Style_88"/>
      <w:lvlText w:val="%1.%2"/>
      <w:lvlJc w:val="left"/>
      <w:pPr>
        <w:ind w:firstLine="0" w:left="851"/>
      </w:pPr>
      <w:rPr>
        <w:rFonts w:ascii="Times New Roman" w:hAnsi="Times New Roman"/>
        <w:b w:val="1"/>
        <w:i w:val="0"/>
        <w:sz w:val="24"/>
      </w:rPr>
    </w:lvl>
    <w:lvl w:ilvl="2">
      <w:start w:val="1"/>
      <w:numFmt w:val="decimal"/>
      <w:lvlText w:val="%1.%2.%3"/>
      <w:lvlJc w:val="left"/>
      <w:pPr>
        <w:ind w:firstLine="0" w:left="567"/>
      </w:pPr>
      <w:rPr>
        <w:rFonts w:ascii="Times New Roman" w:hAnsi="Times New Roman"/>
        <w:b w:val="1"/>
        <w:i w:val="0"/>
        <w:sz w:val="24"/>
      </w:rPr>
    </w:lvl>
    <w:lvl w:ilvl="3">
      <w:start w:val="1"/>
      <w:numFmt w:val="decimal"/>
      <w:lvlText w:val="%1.%2.%3.%4"/>
      <w:lvlJc w:val="left"/>
      <w:pPr>
        <w:tabs>
          <w:tab w:leader="none" w:pos="141" w:val="left"/>
        </w:tabs>
        <w:ind w:firstLine="0" w:left="141"/>
      </w:pPr>
      <w:rPr>
        <w:rFonts w:ascii="Times New Roman" w:hAnsi="Times New Roman"/>
        <w:i w:val="0"/>
        <w:caps w:val="0"/>
        <w:smallCaps w:val="0"/>
        <w:strike w:val="0"/>
        <w:color w:val="000000"/>
        <w:spacing w:val="0"/>
        <w:u w:val="none"/>
      </w:rPr>
    </w:lvl>
    <w:lvl w:ilvl="4">
      <w:start w:val="1"/>
      <w:numFmt w:val="decimal"/>
      <w:lvlText w:val="%1.%2.%3.%4.%5"/>
      <w:lvlJc w:val="left"/>
      <w:pPr>
        <w:tabs>
          <w:tab w:leader="none" w:pos="141" w:val="left"/>
        </w:tabs>
        <w:ind w:firstLine="0" w:left="141"/>
      </w:pPr>
    </w:lvl>
    <w:lvl w:ilvl="5">
      <w:start w:val="1"/>
      <w:numFmt w:val="decimal"/>
      <w:lvlText w:val="%1.%2.%3.%4.%5.%6"/>
      <w:lvlJc w:val="left"/>
      <w:pPr>
        <w:tabs>
          <w:tab w:leader="none" w:pos="141" w:val="left"/>
        </w:tabs>
        <w:ind w:firstLine="0" w:left="141"/>
      </w:pPr>
    </w:lvl>
    <w:lvl w:ilvl="6">
      <w:start w:val="1"/>
      <w:numFmt w:val="decimal"/>
      <w:lvlText w:val="%1.%2.%3.%4.%5.%6.%7"/>
      <w:lvlJc w:val="left"/>
      <w:pPr>
        <w:tabs>
          <w:tab w:leader="none" w:pos="141" w:val="left"/>
        </w:tabs>
        <w:ind w:firstLine="0" w:left="141"/>
      </w:pPr>
    </w:lvl>
    <w:lvl w:ilvl="7">
      <w:start w:val="1"/>
      <w:numFmt w:val="decimal"/>
      <w:lvlText w:val="%1.%2.%3.%4.%5.%6.%7.%8"/>
      <w:lvlJc w:val="left"/>
      <w:pPr>
        <w:tabs>
          <w:tab w:leader="none" w:pos="141" w:val="left"/>
        </w:tabs>
        <w:ind w:firstLine="0" w:left="141"/>
      </w:pPr>
    </w:lvl>
    <w:lvl w:ilvl="8">
      <w:start w:val="1"/>
      <w:numFmt w:val="decimal"/>
      <w:lvlText w:val="%1.%2.%3.%4.%5.%6.%7.%8.%9"/>
      <w:lvlJc w:val="left"/>
      <w:pPr>
        <w:tabs>
          <w:tab w:leader="none" w:pos="141" w:val="left"/>
        </w:tabs>
        <w:ind w:firstLine="0" w:left="141"/>
      </w:pPr>
    </w:lvl>
  </w:abstractNum>
  <w:abstractNum w:abstractNumId="8">
    <w:lvl w:ilvl="0">
      <w:start w:val="1"/>
      <w:numFmt w:val="decimal"/>
      <w:pStyle w:val="Style_95"/>
      <w:lvlText w:val="%1"/>
      <w:lvlJc w:val="left"/>
      <w:pPr>
        <w:tabs>
          <w:tab w:leader="none" w:pos="283" w:val="left"/>
        </w:tabs>
        <w:ind w:firstLine="57" w:left="-57"/>
      </w:pPr>
    </w:lvl>
    <w:lvl w:ilvl="1">
      <w:start w:val="9"/>
      <w:numFmt w:val="decimal"/>
      <w:lvlText w:val="%1.%2."/>
      <w:lvlJc w:val="left"/>
      <w:pPr>
        <w:ind w:hanging="720" w:left="1075"/>
      </w:pPr>
    </w:lvl>
    <w:lvl w:ilvl="2">
      <w:start w:val="2"/>
      <w:numFmt w:val="decimal"/>
      <w:lvlText w:val="%1.%2.%3."/>
      <w:lvlJc w:val="left"/>
      <w:pPr>
        <w:ind w:hanging="720" w:left="1430"/>
      </w:pPr>
    </w:lvl>
    <w:lvl w:ilvl="3">
      <w:start w:val="1"/>
      <w:numFmt w:val="decimal"/>
      <w:lvlText w:val="%1.%2.%3.%4."/>
      <w:lvlJc w:val="left"/>
      <w:pPr>
        <w:ind w:hanging="1080" w:left="2145"/>
      </w:pPr>
    </w:lvl>
    <w:lvl w:ilvl="4">
      <w:start w:val="1"/>
      <w:numFmt w:val="decimal"/>
      <w:lvlText w:val="%1.%2.%3.%4.%5."/>
      <w:lvlJc w:val="left"/>
      <w:pPr>
        <w:ind w:hanging="1080" w:left="2500"/>
      </w:pPr>
    </w:lvl>
    <w:lvl w:ilvl="5">
      <w:start w:val="1"/>
      <w:numFmt w:val="decimal"/>
      <w:lvlText w:val="%1.%2.%3.%4.%5.%6."/>
      <w:lvlJc w:val="left"/>
      <w:pPr>
        <w:ind w:hanging="1440" w:left="3215"/>
      </w:pPr>
    </w:lvl>
    <w:lvl w:ilvl="6">
      <w:start w:val="1"/>
      <w:numFmt w:val="decimal"/>
      <w:lvlText w:val="%1.%2.%3.%4.%5.%6.%7."/>
      <w:lvlJc w:val="left"/>
      <w:pPr>
        <w:ind w:hanging="1800" w:left="3930"/>
      </w:pPr>
    </w:lvl>
    <w:lvl w:ilvl="7">
      <w:start w:val="1"/>
      <w:numFmt w:val="decimal"/>
      <w:lvlText w:val="%1.%2.%3.%4.%5.%6.%7.%8."/>
      <w:lvlJc w:val="left"/>
      <w:pPr>
        <w:ind w:hanging="1800" w:left="4285"/>
      </w:pPr>
    </w:lvl>
    <w:lvl w:ilvl="8">
      <w:start w:val="1"/>
      <w:numFmt w:val="decimal"/>
      <w:lvlText w:val="%1.%2.%3.%4.%5.%6.%7.%8.%9."/>
      <w:lvlJc w:val="left"/>
      <w:pPr>
        <w:ind w:hanging="2160" w:left="5000"/>
      </w:pPr>
    </w:lvl>
  </w:abstractNum>
  <w:abstractNum w:abstractNumId="9">
    <w:lvl w:ilvl="0">
      <w:start w:val="1"/>
      <w:numFmt w:val="bullet"/>
      <w:pStyle w:val="Style_9"/>
      <w:lvlText w:val="–"/>
      <w:lvlJc w:val="left"/>
      <w:pPr>
        <w:ind w:firstLine="567" w:left="-425"/>
      </w:pPr>
      <w:rPr>
        <w:rFonts w:ascii="Times New Roman" w:hAnsi="Times New Roman"/>
      </w:rPr>
    </w:lvl>
    <w:lvl w:ilvl="1">
      <w:start w:val="1"/>
      <w:numFmt w:val="bullet"/>
      <w:lvlText w:val="–"/>
      <w:lvlJc w:val="left"/>
      <w:pPr>
        <w:ind w:firstLine="567" w:left="0"/>
      </w:pPr>
      <w:rPr>
        <w:rFonts w:ascii="Times New Roman" w:hAnsi="Times New Roman"/>
      </w:rPr>
    </w:lvl>
    <w:lvl w:ilvl="2">
      <w:start w:val="1"/>
      <w:numFmt w:val="bullet"/>
      <w:lvlText w:val=""/>
      <w:lvlJc w:val="left"/>
      <w:pPr>
        <w:ind w:firstLine="567" w:left="0"/>
      </w:pPr>
      <w:rPr>
        <w:rFonts w:ascii="Symbol" w:hAnsi="Symbol"/>
      </w:rPr>
    </w:lvl>
    <w:lvl w:ilvl="3">
      <w:start w:val="1"/>
      <w:numFmt w:val="bullet"/>
      <w:lvlText w:val="–"/>
      <w:lvlJc w:val="left"/>
      <w:pPr>
        <w:ind w:firstLine="567" w:left="0"/>
      </w:pPr>
      <w:rPr>
        <w:rFonts w:ascii="Times New Roman" w:hAnsi="Times New Roman"/>
      </w:rPr>
    </w:lvl>
    <w:lvl w:ilvl="4">
      <w:start w:val="1"/>
      <w:numFmt w:val="bullet"/>
      <w:lvlText w:val="–"/>
      <w:lvlJc w:val="left"/>
      <w:pPr>
        <w:ind w:firstLine="567" w:left="0"/>
      </w:pPr>
      <w:rPr>
        <w:rFonts w:ascii="Times New Roman" w:hAnsi="Times New Roman"/>
      </w:rPr>
    </w:lvl>
    <w:lvl w:ilvl="5">
      <w:start w:val="1"/>
      <w:numFmt w:val="bullet"/>
      <w:lvlText w:val="–"/>
      <w:lvlJc w:val="left"/>
      <w:pPr>
        <w:ind w:firstLine="567" w:left="0"/>
      </w:pPr>
      <w:rPr>
        <w:rFonts w:ascii="Times New Roman" w:hAnsi="Times New Roman"/>
      </w:rPr>
    </w:lvl>
    <w:lvl w:ilvl="6">
      <w:start w:val="1"/>
      <w:numFmt w:val="bullet"/>
      <w:lvlText w:val=""/>
      <w:lvlJc w:val="left"/>
      <w:pPr>
        <w:ind w:firstLine="567" w:left="0"/>
      </w:pPr>
      <w:rPr>
        <w:rFonts w:ascii="Symbol" w:hAnsi="Symbol"/>
      </w:rPr>
    </w:lvl>
    <w:lvl w:ilvl="7">
      <w:start w:val="1"/>
      <w:numFmt w:val="bullet"/>
      <w:lvlText w:val="–"/>
      <w:lvlJc w:val="left"/>
      <w:pPr>
        <w:ind w:firstLine="567" w:left="-283"/>
      </w:pPr>
      <w:rPr>
        <w:rFonts w:ascii="Times New Roman" w:hAnsi="Times New Roman"/>
      </w:rPr>
    </w:lvl>
    <w:lvl w:ilvl="8">
      <w:start w:val="1"/>
      <w:numFmt w:val="bullet"/>
      <w:lvlText w:val=""/>
      <w:lvlJc w:val="left"/>
      <w:pPr>
        <w:ind w:firstLine="567" w:left="0"/>
      </w:pPr>
      <w:rPr>
        <w:rFonts w:ascii="Symbol" w:hAnsi="Symbol"/>
      </w:rPr>
    </w:lvl>
  </w:abstractNum>
  <w:abstractNum w:abstractNumId="10">
    <w:lvl w:ilvl="0">
      <w:start w:val="1"/>
      <w:numFmt w:val="russianLower"/>
      <w:pStyle w:val="Style_146"/>
      <w:lvlText w:val="%1)"/>
      <w:lvlJc w:val="left"/>
      <w:pPr>
        <w:ind w:firstLine="0" w:left="567"/>
      </w:pPr>
      <w:rPr>
        <w:rFonts w:ascii="Times New Roman" w:hAnsi="Times New Roman"/>
        <w:b w:val="0"/>
        <w:i w:val="0"/>
        <w:caps w:val="0"/>
        <w:strike w:val="0"/>
        <w:color w:val="000000"/>
        <w:spacing w:val="0"/>
        <w:sz w:val="24"/>
        <w:u w:val="none"/>
      </w:rPr>
    </w:lvl>
    <w:lvl w:ilvl="1">
      <w:start w:val="1"/>
      <w:numFmt w:val="russianLower"/>
      <w:lvlText w:val="%1.%2"/>
      <w:lvlJc w:val="left"/>
      <w:pPr>
        <w:ind w:firstLine="567" w:left="567"/>
      </w:pPr>
      <w:rPr>
        <w:rFonts w:ascii="Times New Roman" w:hAnsi="Times New Roman"/>
        <w:b w:val="1"/>
        <w:i w:val="0"/>
        <w:spacing w:val="0"/>
        <w:sz w:val="28"/>
      </w:rPr>
    </w:lvl>
    <w:lvl w:ilvl="2">
      <w:start w:val="1"/>
      <w:numFmt w:val="decimal"/>
      <w:lvlText w:val="%1.%2.%3"/>
      <w:lvlJc w:val="left"/>
      <w:pPr>
        <w:ind w:firstLine="567" w:left="567"/>
      </w:pPr>
      <w:rPr>
        <w:rFonts w:ascii="Times New Roman" w:hAnsi="Times New Roman"/>
        <w:b w:val="1"/>
        <w:i w:val="0"/>
        <w:color w:val="000000"/>
        <w:sz w:val="26"/>
      </w:rPr>
    </w:lvl>
    <w:lvl w:ilvl="3">
      <w:start w:val="1"/>
      <w:numFmt w:val="decimal"/>
      <w:lvlText w:val="%1.%2.%3.%4"/>
      <w:lvlJc w:val="left"/>
      <w:pPr>
        <w:ind w:firstLine="567" w:left="567"/>
      </w:pPr>
      <w:rPr>
        <w:rFonts w:ascii="Times New Roman" w:hAnsi="Times New Roman"/>
        <w:b w:val="1"/>
        <w:i w:val="0"/>
        <w:color w:val="000000"/>
        <w:spacing w:val="0"/>
        <w:sz w:val="24"/>
      </w:rPr>
    </w:lvl>
    <w:lvl w:ilvl="4">
      <w:start w:val="1"/>
      <w:numFmt w:val="decimal"/>
      <w:lvlText w:val="%1.%2.%3.%4.%5"/>
      <w:lvlJc w:val="left"/>
      <w:pPr>
        <w:tabs>
          <w:tab w:leader="none" w:pos="2142" w:val="left"/>
        </w:tabs>
        <w:ind w:hanging="1008" w:left="2142"/>
      </w:pPr>
    </w:lvl>
    <w:lvl w:ilvl="5">
      <w:start w:val="1"/>
      <w:numFmt w:val="decimal"/>
      <w:lvlText w:val="%1.%2.%3.%4.%5.%6"/>
      <w:lvlJc w:val="left"/>
      <w:pPr>
        <w:tabs>
          <w:tab w:leader="none" w:pos="2286" w:val="left"/>
        </w:tabs>
        <w:ind w:hanging="1152" w:left="2286"/>
      </w:pPr>
    </w:lvl>
    <w:lvl w:ilvl="6">
      <w:start w:val="1"/>
      <w:numFmt w:val="decimal"/>
      <w:lvlText w:val="%1.%2.%3.%4.%5.%6.%7"/>
      <w:lvlJc w:val="left"/>
      <w:pPr>
        <w:tabs>
          <w:tab w:leader="none" w:pos="2430" w:val="left"/>
        </w:tabs>
        <w:ind w:hanging="1296" w:left="2430"/>
      </w:pPr>
    </w:lvl>
    <w:lvl w:ilvl="7">
      <w:start w:val="1"/>
      <w:numFmt w:val="decimal"/>
      <w:lvlText w:val="%1.%2.%3.%4.%5.%6.%7.%8"/>
      <w:lvlJc w:val="left"/>
      <w:pPr>
        <w:tabs>
          <w:tab w:leader="none" w:pos="2574" w:val="left"/>
        </w:tabs>
        <w:ind w:hanging="1440" w:left="2574"/>
      </w:pPr>
    </w:lvl>
    <w:lvl w:ilvl="8">
      <w:start w:val="1"/>
      <w:numFmt w:val="decimal"/>
      <w:lvlText w:val="%1.%2.%3.%4.%5.%6.%7.%8.%9"/>
      <w:lvlJc w:val="left"/>
      <w:pPr>
        <w:tabs>
          <w:tab w:leader="none" w:pos="2718" w:val="left"/>
        </w:tabs>
        <w:ind w:hanging="1584" w:left="2718"/>
      </w:pPr>
    </w:lvl>
  </w:abstractNum>
  <w:abstractNum w:abstractNumId="11">
    <w:lvl w:ilvl="0">
      <w:start w:val="1"/>
      <w:numFmt w:val="decimal"/>
      <w:pStyle w:val="Style_179"/>
      <w:lvlText w:val="%1)"/>
      <w:lvlJc w:val="left"/>
      <w:pPr>
        <w:ind w:firstLine="567" w:left="0"/>
      </w:pPr>
    </w:lvl>
    <w:lvl w:ilvl="1">
      <w:start w:val="1"/>
      <w:numFmt w:val="bullet"/>
      <w:lvlText w:val="–"/>
      <w:lvlJc w:val="left"/>
      <w:pPr>
        <w:ind w:firstLine="567" w:left="284"/>
      </w:pPr>
      <w:rPr>
        <w:rFonts w:ascii="Times New Roman" w:hAnsi="Times New Roman"/>
      </w:rPr>
    </w:lvl>
    <w:lvl w:ilvl="2">
      <w:start w:val="1"/>
      <w:numFmt w:val="bullet"/>
      <w:lvlText w:val=""/>
      <w:lvlJc w:val="left"/>
      <w:pPr>
        <w:ind w:firstLine="567" w:left="284"/>
      </w:pPr>
      <w:rPr>
        <w:rFonts w:ascii="Symbol" w:hAnsi="Symbol"/>
      </w:rPr>
    </w:lvl>
    <w:lvl w:ilvl="3">
      <w:start w:val="1"/>
      <w:numFmt w:val="bullet"/>
      <w:lvlText w:val="–"/>
      <w:lvlJc w:val="left"/>
      <w:pPr>
        <w:ind w:firstLine="567" w:left="284"/>
      </w:pPr>
      <w:rPr>
        <w:rFonts w:ascii="Times New Roman" w:hAnsi="Times New Roman"/>
      </w:rPr>
    </w:lvl>
    <w:lvl w:ilvl="4">
      <w:start w:val="1"/>
      <w:numFmt w:val="bullet"/>
      <w:lvlText w:val="–"/>
      <w:lvlJc w:val="left"/>
      <w:pPr>
        <w:ind w:firstLine="567" w:left="284"/>
      </w:pPr>
      <w:rPr>
        <w:rFonts w:ascii="Times New Roman" w:hAnsi="Times New Roman"/>
      </w:rPr>
    </w:lvl>
    <w:lvl w:ilvl="5">
      <w:start w:val="1"/>
      <w:numFmt w:val="bullet"/>
      <w:lvlText w:val="–"/>
      <w:lvlJc w:val="left"/>
      <w:pPr>
        <w:ind w:firstLine="567" w:left="284"/>
      </w:pPr>
      <w:rPr>
        <w:rFonts w:ascii="Times New Roman" w:hAnsi="Times New Roman"/>
      </w:rPr>
    </w:lvl>
    <w:lvl w:ilvl="6">
      <w:start w:val="1"/>
      <w:numFmt w:val="bullet"/>
      <w:lvlText w:val=""/>
      <w:lvlJc w:val="left"/>
      <w:pPr>
        <w:ind w:firstLine="567" w:left="284"/>
      </w:pPr>
      <w:rPr>
        <w:rFonts w:ascii="Symbol" w:hAnsi="Symbol"/>
      </w:rPr>
    </w:lvl>
    <w:lvl w:ilvl="7">
      <w:start w:val="1"/>
      <w:numFmt w:val="bullet"/>
      <w:lvlText w:val="–"/>
      <w:lvlJc w:val="left"/>
      <w:pPr>
        <w:ind w:firstLine="567" w:left="284"/>
      </w:pPr>
      <w:rPr>
        <w:rFonts w:ascii="Times New Roman" w:hAnsi="Times New Roman"/>
      </w:rPr>
    </w:lvl>
    <w:lvl w:ilvl="8">
      <w:start w:val="1"/>
      <w:numFmt w:val="bullet"/>
      <w:lvlText w:val=""/>
      <w:lvlJc w:val="left"/>
      <w:pPr>
        <w:ind w:firstLine="567" w:left="284"/>
      </w:pPr>
      <w:rPr>
        <w:rFonts w:ascii="Symbol" w:hAnsi="Symbol"/>
      </w:rPr>
    </w:lvl>
  </w:abstractNum>
  <w:abstractNum w:abstractNumId="12">
    <w:lvl w:ilvl="0">
      <w:start w:val="1"/>
      <w:numFmt w:val="bullet"/>
      <w:pStyle w:val="Style_193"/>
      <w:lvlText w:val=""/>
      <w:lvlJc w:val="left"/>
      <w:pPr>
        <w:ind w:hanging="360" w:left="12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hanging="360" w:left="198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70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342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414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48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58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630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7020"/>
      </w:pPr>
      <w:rPr>
        <w:rFonts w:ascii="Wingdings" w:hAnsi="Wingdings"/>
      </w:rPr>
    </w:lvl>
  </w:abstractNum>
  <w:abstractNum w:abstractNumId="13">
    <w:lvl w:ilvl="0">
      <w:start w:val="1"/>
      <w:numFmt w:val="decimal"/>
      <w:pStyle w:val="Style_207"/>
      <w:lvlText w:val="Рисунок. %1"/>
      <w:lvlJc w:val="left"/>
      <w:pPr>
        <w:tabs>
          <w:tab w:leader="none" w:pos="2149" w:val="left"/>
        </w:tabs>
        <w:ind w:hanging="360" w:left="2149"/>
      </w:pPr>
    </w:lvl>
    <w:lvl w:ilvl="1">
      <w:start w:val="1"/>
      <w:numFmt w:val="lowerLetter"/>
      <w:lvlText w:val="%2."/>
      <w:lvlJc w:val="left"/>
      <w:pPr>
        <w:tabs>
          <w:tab w:leader="none" w:pos="2149" w:val="left"/>
        </w:tabs>
        <w:ind w:hanging="360" w:left="2149"/>
      </w:pPr>
    </w:lvl>
    <w:lvl w:ilvl="2">
      <w:start w:val="1"/>
      <w:numFmt w:val="lowerRoman"/>
      <w:lvlText w:val="%3."/>
      <w:lvlJc w:val="right"/>
      <w:pPr>
        <w:tabs>
          <w:tab w:leader="none" w:pos="2869" w:val="left"/>
        </w:tabs>
        <w:ind w:hanging="180" w:left="2869"/>
      </w:pPr>
    </w:lvl>
    <w:lvl w:ilvl="3">
      <w:start w:val="1"/>
      <w:numFmt w:val="decimal"/>
      <w:lvlText w:val="%4."/>
      <w:lvlJc w:val="left"/>
      <w:pPr>
        <w:tabs>
          <w:tab w:leader="none" w:pos="3589" w:val="left"/>
        </w:tabs>
        <w:ind w:hanging="360" w:left="3589"/>
      </w:pPr>
    </w:lvl>
    <w:lvl w:ilvl="4">
      <w:start w:val="1"/>
      <w:numFmt w:val="lowerLetter"/>
      <w:lvlText w:val="%5."/>
      <w:lvlJc w:val="left"/>
      <w:pPr>
        <w:tabs>
          <w:tab w:leader="none" w:pos="4309" w:val="left"/>
        </w:tabs>
        <w:ind w:hanging="360" w:left="4309"/>
      </w:pPr>
    </w:lvl>
    <w:lvl w:ilvl="5">
      <w:start w:val="1"/>
      <w:numFmt w:val="lowerRoman"/>
      <w:lvlText w:val="%6."/>
      <w:lvlJc w:val="right"/>
      <w:pPr>
        <w:tabs>
          <w:tab w:leader="none" w:pos="5029" w:val="left"/>
        </w:tabs>
        <w:ind w:hanging="180" w:left="5029"/>
      </w:pPr>
    </w:lvl>
    <w:lvl w:ilvl="6">
      <w:start w:val="1"/>
      <w:numFmt w:val="decimal"/>
      <w:lvlText w:val="%7."/>
      <w:lvlJc w:val="left"/>
      <w:pPr>
        <w:tabs>
          <w:tab w:leader="none" w:pos="5749" w:val="left"/>
        </w:tabs>
        <w:ind w:hanging="360" w:left="5749"/>
      </w:pPr>
    </w:lvl>
    <w:lvl w:ilvl="7">
      <w:start w:val="1"/>
      <w:numFmt w:val="lowerLetter"/>
      <w:lvlText w:val="%8."/>
      <w:lvlJc w:val="left"/>
      <w:pPr>
        <w:tabs>
          <w:tab w:leader="none" w:pos="6469" w:val="left"/>
        </w:tabs>
        <w:ind w:hanging="360" w:left="6469"/>
      </w:pPr>
    </w:lvl>
    <w:lvl w:ilvl="8">
      <w:start w:val="1"/>
      <w:numFmt w:val="lowerRoman"/>
      <w:lvlText w:val="%9."/>
      <w:lvlJc w:val="right"/>
      <w:pPr>
        <w:tabs>
          <w:tab w:leader="none" w:pos="7189" w:val="left"/>
        </w:tabs>
        <w:ind w:hanging="180" w:left="7189"/>
      </w:pPr>
    </w:lvl>
  </w:abstractNum>
  <w:abstractNum w:abstractNumId="14">
    <w:lvl w:ilvl="0">
      <w:start w:val="1"/>
      <w:numFmt w:val="decimal"/>
      <w:pStyle w:val="Style_209"/>
      <w:lvlText w:val="%1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15">
    <w:lvl w:ilvl="0">
      <w:numFmt w:val="decimal"/>
      <w:pStyle w:val="Style_217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lvl w:ilvl="0">
      <w:start w:val="1"/>
      <w:numFmt w:val="decimal"/>
      <w:pStyle w:val="Style_221"/>
      <w:lvlText w:val="%1)"/>
      <w:lvlJc w:val="left"/>
      <w:pPr>
        <w:ind w:hanging="360" w:left="1040"/>
      </w:pPr>
      <w:rPr>
        <w:b w:val="0"/>
        <w:i w:val="0"/>
        <w:caps w:val="0"/>
        <w:smallCaps w:val="0"/>
        <w:strike w:val="0"/>
        <w:color w:val="000000"/>
        <w:spacing w:val="0"/>
        <w:u w:val="none"/>
      </w:rPr>
    </w:lvl>
    <w:lvl w:ilvl="1">
      <w:start w:val="1"/>
      <w:numFmt w:val="lowerLetter"/>
      <w:lvlText w:val="%2."/>
      <w:lvlJc w:val="left"/>
      <w:pPr>
        <w:tabs>
          <w:tab w:leader="none" w:pos="1440" w:val="left"/>
        </w:tabs>
        <w:ind w:hanging="360" w:left="1440"/>
      </w:pPr>
    </w:lvl>
    <w:lvl w:ilvl="2">
      <w:start w:val="1"/>
      <w:numFmt w:val="lowerRoman"/>
      <w:lvlText w:val="%3."/>
      <w:lvlJc w:val="right"/>
      <w:pPr>
        <w:tabs>
          <w:tab w:leader="none" w:pos="2160" w:val="left"/>
        </w:tabs>
        <w:ind w:hanging="180" w:left="2160"/>
      </w:pPr>
    </w:lvl>
    <w:lvl w:ilvl="3">
      <w:start w:val="1"/>
      <w:numFmt w:val="decimal"/>
      <w:lvlText w:val="%4."/>
      <w:lvlJc w:val="left"/>
      <w:pPr>
        <w:tabs>
          <w:tab w:leader="none" w:pos="2880" w:val="left"/>
        </w:tabs>
        <w:ind w:hanging="360" w:left="2880"/>
      </w:pPr>
    </w:lvl>
    <w:lvl w:ilvl="4">
      <w:start w:val="1"/>
      <w:numFmt w:val="lowerLetter"/>
      <w:lvlText w:val="%5."/>
      <w:lvlJc w:val="left"/>
      <w:pPr>
        <w:tabs>
          <w:tab w:leader="none" w:pos="3600" w:val="left"/>
        </w:tabs>
        <w:ind w:hanging="360" w:left="3600"/>
      </w:pPr>
    </w:lvl>
    <w:lvl w:ilvl="5">
      <w:start w:val="1"/>
      <w:numFmt w:val="lowerRoman"/>
      <w:lvlText w:val="%6."/>
      <w:lvlJc w:val="right"/>
      <w:pPr>
        <w:tabs>
          <w:tab w:leader="none" w:pos="4320" w:val="left"/>
        </w:tabs>
        <w:ind w:hanging="180" w:left="4320"/>
      </w:pPr>
    </w:lvl>
    <w:lvl w:ilvl="6">
      <w:start w:val="1"/>
      <w:numFmt w:val="decimal"/>
      <w:lvlText w:val="%7."/>
      <w:lvlJc w:val="left"/>
      <w:pPr>
        <w:tabs>
          <w:tab w:leader="none" w:pos="5040" w:val="left"/>
        </w:tabs>
        <w:ind w:hanging="360" w:left="5040"/>
      </w:pPr>
    </w:lvl>
    <w:lvl w:ilvl="7">
      <w:start w:val="1"/>
      <w:numFmt w:val="lowerLetter"/>
      <w:lvlText w:val="%8."/>
      <w:lvlJc w:val="left"/>
      <w:pPr>
        <w:tabs>
          <w:tab w:leader="none" w:pos="5760" w:val="left"/>
        </w:tabs>
        <w:ind w:hanging="360" w:left="5760"/>
      </w:pPr>
    </w:lvl>
    <w:lvl w:ilvl="8">
      <w:start w:val="1"/>
      <w:numFmt w:val="lowerRoman"/>
      <w:lvlText w:val="%9."/>
      <w:lvlJc w:val="right"/>
      <w:pPr>
        <w:tabs>
          <w:tab w:leader="none" w:pos="6480" w:val="left"/>
        </w:tabs>
        <w:ind w:hanging="180" w:left="6480"/>
      </w:pPr>
    </w:lvl>
  </w:abstractNum>
  <w:abstractNum w:abstractNumId="17">
    <w:lvl w:ilvl="0">
      <w:start w:val="1"/>
      <w:numFmt w:val="decimal"/>
      <w:pStyle w:val="Style_244"/>
      <w:lvlText w:val="%1"/>
      <w:lvlJc w:val="left"/>
      <w:pPr>
        <w:ind w:firstLine="567" w:left="1"/>
      </w:pPr>
    </w:lvl>
    <w:lvl w:ilvl="1">
      <w:start w:val="1"/>
      <w:numFmt w:val="decimal"/>
      <w:lvlText w:val="%1.%2"/>
      <w:lvlJc w:val="left"/>
      <w:pPr>
        <w:ind w:firstLine="567" w:left="0"/>
      </w:pPr>
    </w:lvl>
    <w:lvl w:ilvl="2">
      <w:start w:val="1"/>
      <w:numFmt w:val="decimal"/>
      <w:lvlText w:val="%1.%2.%3"/>
      <w:lvlJc w:val="left"/>
      <w:pPr>
        <w:ind w:firstLine="567" w:left="0"/>
      </w:pPr>
    </w:lvl>
    <w:lvl w:ilvl="3">
      <w:start w:val="1"/>
      <w:numFmt w:val="decimal"/>
      <w:lvlText w:val="%1.%2.%3.%4"/>
      <w:lvlJc w:val="left"/>
      <w:pPr>
        <w:ind w:firstLine="567" w:left="0"/>
      </w:pPr>
    </w:lvl>
    <w:lvl w:ilvl="4">
      <w:start w:val="1"/>
      <w:numFmt w:val="decimal"/>
      <w:lvlText w:val="%1.%2.%3.%4.%5"/>
      <w:lvlJc w:val="left"/>
      <w:pPr>
        <w:ind w:firstLine="567" w:left="0"/>
      </w:pPr>
    </w:lvl>
    <w:lvl w:ilvl="5">
      <w:start w:val="1"/>
      <w:numFmt w:val="decimal"/>
      <w:lvlText w:val="%1.%2.%3.%4.%5.%6"/>
      <w:lvlJc w:val="left"/>
      <w:pPr>
        <w:ind w:firstLine="709" w:left="2268"/>
      </w:pPr>
    </w:lvl>
    <w:lvl w:ilvl="6">
      <w:start w:val="1"/>
      <w:numFmt w:val="decimal"/>
      <w:lvlText w:val="%1.%2.%3.%4.%5.%6.%7"/>
      <w:lvlJc w:val="left"/>
      <w:pPr>
        <w:ind w:firstLine="709" w:left="2268"/>
      </w:pPr>
    </w:lvl>
    <w:lvl w:ilvl="7">
      <w:start w:val="1"/>
      <w:numFmt w:val="decimal"/>
      <w:lvlText w:val="%1.%2.%3.%4.%5.%6.%7.%8"/>
      <w:lvlJc w:val="left"/>
      <w:pPr>
        <w:ind w:firstLine="709" w:left="2268"/>
      </w:pPr>
    </w:lvl>
    <w:lvl w:ilvl="8">
      <w:start w:val="1"/>
      <w:numFmt w:val="decimal"/>
      <w:lvlText w:val="%1.%2.%3.%4.%5.%6.%7.%8.%9"/>
      <w:lvlJc w:val="left"/>
      <w:pPr>
        <w:ind w:firstLine="709" w:left="2268"/>
      </w:pPr>
    </w:lvl>
  </w:abstractNum>
  <w:abstractNum w:abstractNumId="18">
    <w:lvl w:ilvl="0">
      <w:start w:val="1"/>
      <w:numFmt w:val="decimal"/>
      <w:pStyle w:val="Style_250"/>
      <w:lvlText w:val="%1."/>
      <w:lvlJc w:val="left"/>
      <w:pPr>
        <w:ind w:hanging="360" w:left="1287"/>
      </w:pPr>
      <w:rPr>
        <w:b w:val="1"/>
        <w:color w:val="000000"/>
      </w:rPr>
    </w:lvl>
    <w:lvl w:ilvl="1">
      <w:start w:val="1"/>
      <w:numFmt w:val="bullet"/>
      <w:lvlText w:val="o"/>
      <w:lvlJc w:val="left"/>
      <w:pPr>
        <w:ind w:hanging="360" w:left="2007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727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3447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4167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4887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607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6327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7047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9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0" w:uiPriority="9" w:unhideWhenUsed="0"/>
    <w:lsdException w:name="heading 7" w:qFormat="1" w:semiHidden="0" w:uiPriority="9" w:unhideWhenUsed="0"/>
    <w:lsdException w:name="heading 8" w:qFormat="1" w:semiHidden="0" w:uiPriority="9" w:unhideWhenUsed="0"/>
    <w:lsdException w:name="heading 9" w:qFormat="1" w:semiHidden="0" w:uiPriority="9" w:unhideWhenUsed="0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rPr>
      <w:sz w:val="24"/>
    </w:rPr>
  </w:style>
  <w:style w:default="1" w:styleId="Style_3_ch" w:type="character">
    <w:name w:val="Normal"/>
    <w:link w:val="Style_3"/>
    <w:rPr>
      <w:sz w:val="24"/>
    </w:rPr>
  </w:style>
  <w:style w:styleId="Style_21" w:type="paragraph">
    <w:name w:val="Normal Indent"/>
    <w:basedOn w:val="Style_3"/>
    <w:link w:val="Style_21_ch"/>
    <w:pPr>
      <w:spacing w:line="360" w:lineRule="auto"/>
      <w:ind w:firstLine="709" w:left="1440"/>
      <w:jc w:val="both"/>
    </w:pPr>
    <w:rPr>
      <w:rFonts w:ascii="Arial" w:hAnsi="Arial"/>
      <w:spacing w:val="-5"/>
      <w:sz w:val="20"/>
    </w:rPr>
  </w:style>
  <w:style w:styleId="Style_21_ch" w:type="character">
    <w:name w:val="Normal Indent"/>
    <w:basedOn w:val="Style_3_ch"/>
    <w:link w:val="Style_21"/>
    <w:rPr>
      <w:rFonts w:ascii="Arial" w:hAnsi="Arial"/>
      <w:spacing w:val="-5"/>
      <w:sz w:val="20"/>
    </w:rPr>
  </w:style>
  <w:style w:styleId="Style_22" w:type="paragraph">
    <w:name w:val="ConsNormal"/>
    <w:link w:val="Style_22_ch"/>
    <w:pPr>
      <w:ind w:firstLine="720" w:left="0"/>
      <w:jc w:val="both"/>
    </w:pPr>
    <w:rPr>
      <w:rFonts w:ascii="Arial" w:hAnsi="Arial"/>
    </w:rPr>
  </w:style>
  <w:style w:styleId="Style_22_ch" w:type="character">
    <w:name w:val="ConsNormal"/>
    <w:link w:val="Style_22"/>
    <w:rPr>
      <w:rFonts w:ascii="Arial" w:hAnsi="Arial"/>
    </w:rPr>
  </w:style>
  <w:style w:styleId="Style_23" w:type="paragraph">
    <w:name w:val="Табличный_центр"/>
    <w:basedOn w:val="Style_3"/>
    <w:link w:val="Style_23_ch"/>
    <w:pPr>
      <w:keepNext w:val="1"/>
      <w:ind/>
      <w:jc w:val="center"/>
    </w:pPr>
    <w:rPr>
      <w:sz w:val="22"/>
    </w:rPr>
  </w:style>
  <w:style w:styleId="Style_23_ch" w:type="character">
    <w:name w:val="Табличный_центр"/>
    <w:basedOn w:val="Style_3_ch"/>
    <w:link w:val="Style_23"/>
    <w:rPr>
      <w:sz w:val="22"/>
    </w:rPr>
  </w:style>
  <w:style w:styleId="Style_24" w:type="paragraph">
    <w:name w:val="HTML Definition"/>
    <w:link w:val="Style_24_ch"/>
    <w:rPr>
      <w:i w:val="1"/>
    </w:rPr>
  </w:style>
  <w:style w:styleId="Style_24_ch" w:type="character">
    <w:name w:val="HTML Definition"/>
    <w:link w:val="Style_24"/>
    <w:rPr>
      <w:i w:val="1"/>
    </w:rPr>
  </w:style>
  <w:style w:styleId="Style_25" w:type="paragraph">
    <w:name w:val="index 1"/>
    <w:basedOn w:val="Style_3"/>
    <w:next w:val="Style_3"/>
    <w:link w:val="Style_25_ch"/>
    <w:pPr>
      <w:ind w:hanging="240" w:left="240"/>
    </w:pPr>
  </w:style>
  <w:style w:styleId="Style_25_ch" w:type="character">
    <w:name w:val="index 1"/>
    <w:basedOn w:val="Style_3_ch"/>
    <w:link w:val="Style_25"/>
  </w:style>
  <w:style w:styleId="Style_26" w:type="paragraph">
    <w:name w:val="Табличный_таблица_11"/>
    <w:link w:val="Style_26_ch"/>
    <w:pPr>
      <w:ind/>
      <w:jc w:val="center"/>
    </w:pPr>
    <w:rPr>
      <w:sz w:val="22"/>
    </w:rPr>
  </w:style>
  <w:style w:styleId="Style_26_ch" w:type="character">
    <w:name w:val="Табличный_таблица_11"/>
    <w:link w:val="Style_26"/>
    <w:rPr>
      <w:sz w:val="22"/>
    </w:rPr>
  </w:style>
  <w:style w:styleId="Style_1" w:type="paragraph">
    <w:name w:val="header"/>
    <w:basedOn w:val="Style_3"/>
    <w:link w:val="Style_1_ch"/>
    <w:pPr>
      <w:tabs>
        <w:tab w:leader="none" w:pos="4677" w:val="center"/>
        <w:tab w:leader="none" w:pos="9355" w:val="right"/>
      </w:tabs>
      <w:ind w:firstLine="680" w:left="0"/>
      <w:jc w:val="both"/>
    </w:pPr>
  </w:style>
  <w:style w:styleId="Style_1_ch" w:type="character">
    <w:name w:val="header"/>
    <w:basedOn w:val="Style_3_ch"/>
    <w:link w:val="Style_1"/>
  </w:style>
  <w:style w:styleId="Style_5" w:type="paragraph">
    <w:name w:val="toc 2"/>
    <w:basedOn w:val="Style_3"/>
    <w:next w:val="Style_3"/>
    <w:link w:val="Style_5_ch"/>
    <w:uiPriority w:val="39"/>
    <w:pPr>
      <w:ind w:firstLine="0" w:left="240"/>
    </w:pPr>
    <w:rPr>
      <w:smallCaps w:val="1"/>
      <w:sz w:val="20"/>
    </w:rPr>
  </w:style>
  <w:style w:styleId="Style_5_ch" w:type="character">
    <w:name w:val="toc 2"/>
    <w:basedOn w:val="Style_3_ch"/>
    <w:link w:val="Style_5"/>
    <w:rPr>
      <w:smallCaps w:val="1"/>
      <w:sz w:val="20"/>
    </w:rPr>
  </w:style>
  <w:style w:styleId="Style_27" w:type="paragraph">
    <w:name w:val="ООО  «Институт Территориального Планирования"/>
    <w:basedOn w:val="Style_3"/>
    <w:link w:val="Style_27_ch"/>
    <w:pPr>
      <w:spacing w:line="360" w:lineRule="auto"/>
      <w:ind w:firstLine="0" w:left="709"/>
      <w:jc w:val="right"/>
    </w:pPr>
  </w:style>
  <w:style w:styleId="Style_27_ch" w:type="character">
    <w:name w:val="ООО  «Институт Территориального Планирования"/>
    <w:basedOn w:val="Style_3_ch"/>
    <w:link w:val="Style_27"/>
  </w:style>
  <w:style w:styleId="Style_28" w:type="paragraph">
    <w:name w:val="index 4"/>
    <w:basedOn w:val="Style_3"/>
    <w:next w:val="Style_3"/>
    <w:link w:val="Style_28_ch"/>
    <w:pPr>
      <w:ind w:hanging="240" w:left="960"/>
    </w:pPr>
  </w:style>
  <w:style w:styleId="Style_28_ch" w:type="character">
    <w:name w:val="index 4"/>
    <w:basedOn w:val="Style_3_ch"/>
    <w:link w:val="Style_28"/>
  </w:style>
  <w:style w:styleId="Style_29" w:type="paragraph">
    <w:name w:val="xl74"/>
    <w:basedOn w:val="Style_3"/>
    <w:link w:val="Style_29_ch"/>
    <w:pPr>
      <w:spacing w:afterAutospacing="on" w:beforeAutospacing="on"/>
      <w:ind/>
      <w:jc w:val="center"/>
    </w:pPr>
    <w:rPr>
      <w:sz w:val="16"/>
    </w:rPr>
  </w:style>
  <w:style w:styleId="Style_29_ch" w:type="character">
    <w:name w:val="xl74"/>
    <w:basedOn w:val="Style_3_ch"/>
    <w:link w:val="Style_29"/>
    <w:rPr>
      <w:sz w:val="16"/>
    </w:rPr>
  </w:style>
  <w:style w:styleId="Style_30" w:type="paragraph">
    <w:name w:val="Binomial Theorem"/>
    <w:link w:val="Style_30_ch"/>
    <w:pPr>
      <w:spacing w:after="200" w:line="276" w:lineRule="auto"/>
      <w:ind/>
    </w:pPr>
    <w:rPr>
      <w:rFonts w:ascii="Calibri" w:hAnsi="Calibri"/>
      <w:sz w:val="22"/>
    </w:rPr>
  </w:style>
  <w:style w:styleId="Style_30_ch" w:type="character">
    <w:name w:val="Binomial Theorem"/>
    <w:link w:val="Style_30"/>
    <w:rPr>
      <w:rFonts w:ascii="Calibri" w:hAnsi="Calibri"/>
      <w:sz w:val="22"/>
    </w:rPr>
  </w:style>
  <w:style w:styleId="Style_31" w:type="paragraph">
    <w:name w:val="HTML Preformatted"/>
    <w:basedOn w:val="Style_3"/>
    <w:link w:val="Style_31_ch"/>
    <w:pPr>
      <w:spacing w:line="360" w:lineRule="auto"/>
      <w:ind w:firstLine="709" w:left="1080"/>
      <w:jc w:val="both"/>
    </w:pPr>
    <w:rPr>
      <w:rFonts w:ascii="Courier New" w:hAnsi="Courier New"/>
      <w:spacing w:val="-5"/>
      <w:sz w:val="20"/>
    </w:rPr>
  </w:style>
  <w:style w:styleId="Style_31_ch" w:type="character">
    <w:name w:val="HTML Preformatted"/>
    <w:basedOn w:val="Style_3_ch"/>
    <w:link w:val="Style_31"/>
    <w:rPr>
      <w:rFonts w:ascii="Courier New" w:hAnsi="Courier New"/>
      <w:spacing w:val="-5"/>
      <w:sz w:val="20"/>
    </w:rPr>
  </w:style>
  <w:style w:styleId="Style_32" w:type="paragraph">
    <w:name w:val="ConsPlusJurTerm"/>
    <w:link w:val="Style_32_ch"/>
    <w:pPr>
      <w:widowControl w:val="0"/>
      <w:ind/>
    </w:pPr>
    <w:rPr>
      <w:rFonts w:ascii="Tahoma" w:hAnsi="Tahoma"/>
      <w:sz w:val="26"/>
    </w:rPr>
  </w:style>
  <w:style w:styleId="Style_32_ch" w:type="character">
    <w:name w:val="ConsPlusJurTerm"/>
    <w:link w:val="Style_32"/>
    <w:rPr>
      <w:rFonts w:ascii="Tahoma" w:hAnsi="Tahoma"/>
      <w:sz w:val="26"/>
    </w:rPr>
  </w:style>
  <w:style w:styleId="Style_33" w:type="paragraph">
    <w:name w:val="1466"/>
    <w:basedOn w:val="Style_3"/>
    <w:link w:val="Style_33_ch"/>
    <w:pPr>
      <w:spacing w:after="120" w:before="120"/>
      <w:ind/>
      <w:jc w:val="center"/>
    </w:pPr>
    <w:rPr>
      <w:b w:val="1"/>
      <w:sz w:val="28"/>
    </w:rPr>
  </w:style>
  <w:style w:styleId="Style_33_ch" w:type="character">
    <w:name w:val="1466"/>
    <w:basedOn w:val="Style_3_ch"/>
    <w:link w:val="Style_33"/>
    <w:rPr>
      <w:b w:val="1"/>
      <w:sz w:val="28"/>
    </w:rPr>
  </w:style>
  <w:style w:styleId="Style_34" w:type="paragraph">
    <w:name w:val="Основной текст с отступом 32"/>
    <w:basedOn w:val="Style_3"/>
    <w:link w:val="Style_34_ch"/>
    <w:pPr>
      <w:widowControl w:val="0"/>
      <w:spacing w:line="340" w:lineRule="exact"/>
      <w:ind w:firstLine="709" w:left="0"/>
      <w:jc w:val="center"/>
    </w:pPr>
    <w:rPr>
      <w:b w:val="1"/>
      <w:color w:val="000000"/>
    </w:rPr>
  </w:style>
  <w:style w:styleId="Style_34_ch" w:type="character">
    <w:name w:val="Основной текст с отступом 32"/>
    <w:basedOn w:val="Style_3_ch"/>
    <w:link w:val="Style_34"/>
    <w:rPr>
      <w:b w:val="1"/>
      <w:color w:val="000000"/>
    </w:rPr>
  </w:style>
  <w:style w:styleId="Style_35" w:type="paragraph">
    <w:name w:val="ТЕКСТ ГРАД"/>
    <w:basedOn w:val="Style_3"/>
    <w:link w:val="Style_35_ch"/>
    <w:pPr>
      <w:spacing w:line="360" w:lineRule="auto"/>
      <w:ind w:firstLine="709" w:left="0"/>
      <w:jc w:val="both"/>
    </w:pPr>
  </w:style>
  <w:style w:styleId="Style_35_ch" w:type="character">
    <w:name w:val="ТЕКСТ ГРАД"/>
    <w:basedOn w:val="Style_3_ch"/>
    <w:link w:val="Style_35"/>
  </w:style>
  <w:style w:styleId="Style_36" w:type="paragraph">
    <w:name w:val="toc 4"/>
    <w:basedOn w:val="Style_3"/>
    <w:next w:val="Style_3"/>
    <w:link w:val="Style_36_ch"/>
    <w:uiPriority w:val="39"/>
    <w:pPr>
      <w:ind w:firstLine="0" w:left="720"/>
    </w:pPr>
    <w:rPr>
      <w:sz w:val="18"/>
    </w:rPr>
  </w:style>
  <w:style w:styleId="Style_36_ch" w:type="character">
    <w:name w:val="toc 4"/>
    <w:basedOn w:val="Style_3_ch"/>
    <w:link w:val="Style_36"/>
    <w:rPr>
      <w:sz w:val="18"/>
    </w:rPr>
  </w:style>
  <w:style w:styleId="Style_37" w:type="paragraph">
    <w:name w:val="List Bullet 4"/>
    <w:basedOn w:val="Style_38"/>
    <w:link w:val="Style_37_ch"/>
    <w:pPr>
      <w:tabs>
        <w:tab w:leader="none" w:pos="360" w:val="left"/>
      </w:tabs>
      <w:spacing w:after="240" w:line="240" w:lineRule="atLeast"/>
      <w:ind w:firstLine="0" w:left="2520"/>
      <w:contextualSpacing w:val="0"/>
    </w:pPr>
    <w:rPr>
      <w:rFonts w:ascii="Arial" w:hAnsi="Arial"/>
      <w:spacing w:val="-5"/>
      <w:sz w:val="20"/>
    </w:rPr>
  </w:style>
  <w:style w:styleId="Style_37_ch" w:type="character">
    <w:name w:val="List Bullet 4"/>
    <w:basedOn w:val="Style_38_ch"/>
    <w:link w:val="Style_37"/>
    <w:rPr>
      <w:rFonts w:ascii="Arial" w:hAnsi="Arial"/>
      <w:spacing w:val="-5"/>
      <w:sz w:val="20"/>
    </w:rPr>
  </w:style>
  <w:style w:styleId="Style_39" w:type="paragraph">
    <w:name w:val="page number"/>
    <w:basedOn w:val="Style_40"/>
    <w:link w:val="Style_39_ch"/>
  </w:style>
  <w:style w:styleId="Style_39_ch" w:type="character">
    <w:name w:val="page number"/>
    <w:basedOn w:val="Style_40_ch"/>
    <w:link w:val="Style_39"/>
  </w:style>
  <w:style w:styleId="Style_41" w:type="paragraph">
    <w:name w:val="envelope return"/>
    <w:basedOn w:val="Style_3"/>
    <w:link w:val="Style_41_ch"/>
    <w:pPr>
      <w:spacing w:line="360" w:lineRule="auto"/>
      <w:ind w:firstLine="709" w:left="1080"/>
      <w:jc w:val="both"/>
    </w:pPr>
    <w:rPr>
      <w:rFonts w:ascii="Arial" w:hAnsi="Arial"/>
      <w:spacing w:val="-5"/>
      <w:sz w:val="20"/>
    </w:rPr>
  </w:style>
  <w:style w:styleId="Style_41_ch" w:type="character">
    <w:name w:val="envelope return"/>
    <w:basedOn w:val="Style_3_ch"/>
    <w:link w:val="Style_41"/>
    <w:rPr>
      <w:rFonts w:ascii="Arial" w:hAnsi="Arial"/>
      <w:spacing w:val="-5"/>
      <w:sz w:val="20"/>
    </w:rPr>
  </w:style>
  <w:style w:styleId="Style_42" w:type="paragraph">
    <w:link w:val="Style_42_ch"/>
    <w:semiHidden w:val="1"/>
    <w:unhideWhenUsed w:val="1"/>
    <w:rPr>
      <w:sz w:val="24"/>
    </w:rPr>
  </w:style>
  <w:style w:styleId="Style_42_ch" w:type="character">
    <w:link w:val="Style_42"/>
    <w:semiHidden w:val="1"/>
    <w:unhideWhenUsed w:val="1"/>
    <w:rPr>
      <w:sz w:val="24"/>
    </w:rPr>
  </w:style>
  <w:style w:styleId="Style_43" w:type="paragraph">
    <w:name w:val="heading 7"/>
    <w:basedOn w:val="Style_3"/>
    <w:next w:val="Style_3"/>
    <w:link w:val="Style_43_ch"/>
    <w:uiPriority w:val="9"/>
    <w:qFormat/>
    <w:pPr>
      <w:numPr>
        <w:ilvl w:val="6"/>
        <w:numId w:val="6"/>
      </w:numPr>
      <w:spacing w:after="60" w:before="240"/>
      <w:ind/>
      <w:outlineLvl w:val="6"/>
    </w:pPr>
  </w:style>
  <w:style w:styleId="Style_43_ch" w:type="character">
    <w:name w:val="heading 7"/>
    <w:basedOn w:val="Style_3_ch"/>
    <w:link w:val="Style_43"/>
  </w:style>
  <w:style w:styleId="Style_44" w:type="paragraph">
    <w:name w:val="Обычный 1"/>
    <w:basedOn w:val="Style_3"/>
    <w:next w:val="Style_3"/>
    <w:link w:val="Style_44_ch"/>
    <w:pPr>
      <w:tabs>
        <w:tab w:leader="none" w:pos="360" w:val="left"/>
      </w:tabs>
      <w:spacing w:before="120"/>
      <w:ind w:hanging="360" w:left="360"/>
      <w:jc w:val="both"/>
    </w:pPr>
  </w:style>
  <w:style w:styleId="Style_44_ch" w:type="character">
    <w:name w:val="Обычный 1"/>
    <w:basedOn w:val="Style_3_ch"/>
    <w:link w:val="Style_44"/>
  </w:style>
  <w:style w:styleId="Style_45" w:type="paragraph">
    <w:name w:val="S_Титульный"/>
    <w:basedOn w:val="Style_3"/>
    <w:link w:val="Style_45_ch"/>
    <w:pPr>
      <w:spacing w:line="360" w:lineRule="auto"/>
      <w:ind w:firstLine="0" w:left="3240"/>
      <w:jc w:val="right"/>
    </w:pPr>
    <w:rPr>
      <w:b w:val="1"/>
      <w:sz w:val="32"/>
    </w:rPr>
  </w:style>
  <w:style w:styleId="Style_45_ch" w:type="character">
    <w:name w:val="S_Титульный"/>
    <w:basedOn w:val="Style_3_ch"/>
    <w:link w:val="Style_45"/>
    <w:rPr>
      <w:b w:val="1"/>
      <w:sz w:val="32"/>
    </w:rPr>
  </w:style>
  <w:style w:styleId="Style_46" w:type="paragraph">
    <w:name w:val="List Number"/>
    <w:basedOn w:val="Style_3"/>
    <w:link w:val="Style_46_ch"/>
    <w:pPr>
      <w:spacing w:afterAutospacing="on" w:beforeAutospacing="on" w:line="360" w:lineRule="auto"/>
      <w:ind w:firstLine="709" w:left="0"/>
      <w:jc w:val="both"/>
    </w:pPr>
    <w:rPr>
      <w:sz w:val="28"/>
    </w:rPr>
  </w:style>
  <w:style w:styleId="Style_46_ch" w:type="character">
    <w:name w:val="List Number"/>
    <w:basedOn w:val="Style_3_ch"/>
    <w:link w:val="Style_46"/>
    <w:rPr>
      <w:sz w:val="28"/>
    </w:rPr>
  </w:style>
  <w:style w:styleId="Style_47" w:type="paragraph">
    <w:name w:val="xl88"/>
    <w:basedOn w:val="Style_3"/>
    <w:link w:val="Style_47_ch"/>
    <w:pPr>
      <w:spacing w:afterAutospacing="on" w:beforeAutospacing="on"/>
      <w:ind/>
    </w:pPr>
    <w:rPr>
      <w:sz w:val="16"/>
    </w:rPr>
  </w:style>
  <w:style w:styleId="Style_47_ch" w:type="character">
    <w:name w:val="xl88"/>
    <w:basedOn w:val="Style_3_ch"/>
    <w:link w:val="Style_47"/>
    <w:rPr>
      <w:sz w:val="16"/>
    </w:rPr>
  </w:style>
  <w:style w:styleId="Style_48" w:type="paragraph">
    <w:name w:val="List Number 3"/>
    <w:basedOn w:val="Style_46"/>
    <w:link w:val="Style_48_ch"/>
    <w:pPr>
      <w:tabs>
        <w:tab w:leader="none" w:pos="720" w:val="left"/>
      </w:tabs>
      <w:spacing w:after="240" w:before="0" w:line="240" w:lineRule="atLeast"/>
      <w:ind w:firstLine="0" w:left="2160"/>
    </w:pPr>
    <w:rPr>
      <w:rFonts w:ascii="Arial" w:hAnsi="Arial"/>
      <w:spacing w:val="-5"/>
      <w:sz w:val="20"/>
    </w:rPr>
  </w:style>
  <w:style w:styleId="Style_48_ch" w:type="character">
    <w:name w:val="List Number 3"/>
    <w:basedOn w:val="Style_46_ch"/>
    <w:link w:val="Style_48"/>
    <w:rPr>
      <w:rFonts w:ascii="Arial" w:hAnsi="Arial"/>
      <w:spacing w:val="-5"/>
      <w:sz w:val="20"/>
    </w:rPr>
  </w:style>
  <w:style w:styleId="Style_49" w:type="paragraph">
    <w:name w:val="Оглавление"/>
    <w:basedOn w:val="Style_3"/>
    <w:link w:val="Style_49_ch"/>
    <w:pPr>
      <w:spacing w:before="120" w:line="230" w:lineRule="exact"/>
      <w:ind/>
    </w:pPr>
    <w:rPr>
      <w:sz w:val="19"/>
    </w:rPr>
  </w:style>
  <w:style w:styleId="Style_49_ch" w:type="character">
    <w:name w:val="Оглавление"/>
    <w:basedOn w:val="Style_3_ch"/>
    <w:link w:val="Style_49"/>
    <w:rPr>
      <w:sz w:val="19"/>
    </w:rPr>
  </w:style>
  <w:style w:styleId="Style_50" w:type="paragraph">
    <w:name w:val="toc 6"/>
    <w:basedOn w:val="Style_3"/>
    <w:next w:val="Style_3"/>
    <w:link w:val="Style_50_ch"/>
    <w:uiPriority w:val="39"/>
    <w:pPr>
      <w:ind w:firstLine="0" w:left="1200"/>
    </w:pPr>
    <w:rPr>
      <w:sz w:val="18"/>
    </w:rPr>
  </w:style>
  <w:style w:styleId="Style_50_ch" w:type="character">
    <w:name w:val="toc 6"/>
    <w:basedOn w:val="Style_3_ch"/>
    <w:link w:val="Style_50"/>
    <w:rPr>
      <w:sz w:val="18"/>
    </w:rPr>
  </w:style>
  <w:style w:styleId="Style_51" w:type="paragraph">
    <w:name w:val="List Number 4"/>
    <w:basedOn w:val="Style_46"/>
    <w:link w:val="Style_51_ch"/>
    <w:pPr>
      <w:spacing w:after="240" w:before="0" w:line="240" w:lineRule="atLeast"/>
      <w:ind w:hanging="360" w:left="2520"/>
    </w:pPr>
    <w:rPr>
      <w:rFonts w:ascii="Arial" w:hAnsi="Arial"/>
      <w:spacing w:val="-5"/>
      <w:sz w:val="20"/>
    </w:rPr>
  </w:style>
  <w:style w:styleId="Style_51_ch" w:type="character">
    <w:name w:val="List Number 4"/>
    <w:basedOn w:val="Style_46_ch"/>
    <w:link w:val="Style_51"/>
    <w:rPr>
      <w:rFonts w:ascii="Arial" w:hAnsi="Arial"/>
      <w:spacing w:val="-5"/>
      <w:sz w:val="20"/>
    </w:rPr>
  </w:style>
  <w:style w:styleId="Style_52" w:type="paragraph">
    <w:name w:val="Основной текст (15)"/>
    <w:basedOn w:val="Style_3"/>
    <w:link w:val="Style_52_ch"/>
    <w:pPr>
      <w:spacing w:line="0" w:lineRule="atLeast"/>
      <w:ind w:hanging="520" w:left="520"/>
    </w:pPr>
    <w:rPr>
      <w:sz w:val="19"/>
    </w:rPr>
  </w:style>
  <w:style w:styleId="Style_52_ch" w:type="character">
    <w:name w:val="Основной текст (15)"/>
    <w:basedOn w:val="Style_3_ch"/>
    <w:link w:val="Style_52"/>
    <w:rPr>
      <w:sz w:val="19"/>
    </w:rPr>
  </w:style>
  <w:style w:styleId="Style_53" w:type="paragraph">
    <w:name w:val="List Continue 3"/>
    <w:basedOn w:val="Style_54"/>
    <w:link w:val="Style_53_ch"/>
    <w:pPr>
      <w:ind w:firstLine="0" w:left="2520"/>
    </w:pPr>
  </w:style>
  <w:style w:styleId="Style_53_ch" w:type="character">
    <w:name w:val="List Continue 3"/>
    <w:basedOn w:val="Style_54_ch"/>
    <w:link w:val="Style_53"/>
  </w:style>
  <w:style w:styleId="Style_55" w:type="paragraph">
    <w:name w:val="toc 7"/>
    <w:basedOn w:val="Style_3"/>
    <w:next w:val="Style_3"/>
    <w:link w:val="Style_55_ch"/>
    <w:uiPriority w:val="39"/>
    <w:pPr>
      <w:ind w:firstLine="0" w:left="1440"/>
    </w:pPr>
    <w:rPr>
      <w:sz w:val="18"/>
    </w:rPr>
  </w:style>
  <w:style w:styleId="Style_55_ch" w:type="character">
    <w:name w:val="toc 7"/>
    <w:basedOn w:val="Style_3_ch"/>
    <w:link w:val="Style_55"/>
    <w:rPr>
      <w:sz w:val="18"/>
    </w:rPr>
  </w:style>
  <w:style w:styleId="Style_40" w:type="paragraph">
    <w:name w:val="Default Paragraph Font"/>
    <w:link w:val="Style_40_ch"/>
  </w:style>
  <w:style w:styleId="Style_40_ch" w:type="character">
    <w:name w:val="Default Paragraph Font"/>
    <w:link w:val="Style_40"/>
  </w:style>
  <w:style w:styleId="Style_56" w:type="paragraph">
    <w:name w:val="xl65"/>
    <w:basedOn w:val="Style_3"/>
    <w:link w:val="Style_56_ch"/>
    <w:pPr>
      <w:spacing w:afterAutospacing="on" w:beforeAutospacing="on"/>
      <w:ind/>
    </w:pPr>
  </w:style>
  <w:style w:styleId="Style_56_ch" w:type="character">
    <w:name w:val="xl65"/>
    <w:basedOn w:val="Style_3_ch"/>
    <w:link w:val="Style_56"/>
  </w:style>
  <w:style w:styleId="Style_57" w:type="paragraph">
    <w:name w:val="xl78"/>
    <w:basedOn w:val="Style_3"/>
    <w:link w:val="Style_57_ch"/>
    <w:pPr>
      <w:spacing w:afterAutospacing="on" w:beforeAutospacing="on"/>
      <w:ind/>
      <w:jc w:val="center"/>
    </w:pPr>
    <w:rPr>
      <w:sz w:val="20"/>
    </w:rPr>
  </w:style>
  <w:style w:styleId="Style_57_ch" w:type="character">
    <w:name w:val="xl78"/>
    <w:basedOn w:val="Style_3_ch"/>
    <w:link w:val="Style_57"/>
    <w:rPr>
      <w:sz w:val="20"/>
    </w:rPr>
  </w:style>
  <w:style w:styleId="Style_58" w:type="paragraph">
    <w:name w:val="No Spacing"/>
    <w:basedOn w:val="Style_3"/>
    <w:link w:val="Style_58_ch"/>
    <w:pPr>
      <w:spacing w:line="360" w:lineRule="auto"/>
      <w:ind w:firstLine="680" w:left="0"/>
      <w:jc w:val="both"/>
    </w:pPr>
  </w:style>
  <w:style w:styleId="Style_58_ch" w:type="character">
    <w:name w:val="No Spacing"/>
    <w:basedOn w:val="Style_3_ch"/>
    <w:link w:val="Style_58"/>
  </w:style>
  <w:style w:styleId="Style_59" w:type="paragraph">
    <w:name w:val="Signature"/>
    <w:basedOn w:val="Style_3"/>
    <w:link w:val="Style_59_ch"/>
    <w:pPr>
      <w:spacing w:line="360" w:lineRule="auto"/>
      <w:ind w:firstLine="709" w:left="4252"/>
      <w:jc w:val="both"/>
    </w:pPr>
    <w:rPr>
      <w:rFonts w:ascii="Arial" w:hAnsi="Arial"/>
      <w:spacing w:val="-5"/>
      <w:sz w:val="20"/>
    </w:rPr>
  </w:style>
  <w:style w:styleId="Style_59_ch" w:type="character">
    <w:name w:val="Signature"/>
    <w:basedOn w:val="Style_3_ch"/>
    <w:link w:val="Style_59"/>
    <w:rPr>
      <w:rFonts w:ascii="Arial" w:hAnsi="Arial"/>
      <w:spacing w:val="-5"/>
      <w:sz w:val="20"/>
    </w:rPr>
  </w:style>
  <w:style w:styleId="Style_60" w:type="paragraph">
    <w:name w:val="HTML Cite"/>
    <w:link w:val="Style_60_ch"/>
    <w:rPr>
      <w:i w:val="1"/>
    </w:rPr>
  </w:style>
  <w:style w:styleId="Style_60_ch" w:type="character">
    <w:name w:val="HTML Cite"/>
    <w:link w:val="Style_60"/>
    <w:rPr>
      <w:i w:val="1"/>
    </w:rPr>
  </w:style>
  <w:style w:styleId="Style_61" w:type="paragraph">
    <w:name w:val="List 4"/>
    <w:basedOn w:val="Style_9"/>
    <w:link w:val="Style_61_ch"/>
    <w:pPr>
      <w:numPr>
        <w:ilvl w:val="0"/>
        <w:numId w:val="0"/>
      </w:numPr>
      <w:spacing w:after="240" w:line="240" w:lineRule="atLeast"/>
      <w:ind w:hanging="360" w:left="2520"/>
    </w:pPr>
    <w:rPr>
      <w:rFonts w:ascii="Arial" w:hAnsi="Arial"/>
      <w:spacing w:val="-5"/>
      <w:sz w:val="20"/>
    </w:rPr>
  </w:style>
  <w:style w:styleId="Style_61_ch" w:type="character">
    <w:name w:val="List 4"/>
    <w:basedOn w:val="Style_9_ch"/>
    <w:link w:val="Style_61"/>
    <w:rPr>
      <w:rFonts w:ascii="Arial" w:hAnsi="Arial"/>
      <w:spacing w:val="-5"/>
      <w:sz w:val="20"/>
    </w:rPr>
  </w:style>
  <w:style w:styleId="Style_62" w:type="paragraph">
    <w:name w:val="xl68"/>
    <w:basedOn w:val="Style_3"/>
    <w:link w:val="Style_62_ch"/>
    <w:pPr>
      <w:spacing w:afterAutospacing="on" w:beforeAutospacing="on"/>
      <w:ind/>
      <w:jc w:val="center"/>
    </w:pPr>
    <w:rPr>
      <w:b w:val="1"/>
      <w:sz w:val="20"/>
    </w:rPr>
  </w:style>
  <w:style w:styleId="Style_62_ch" w:type="character">
    <w:name w:val="xl68"/>
    <w:basedOn w:val="Style_3_ch"/>
    <w:link w:val="Style_62"/>
    <w:rPr>
      <w:b w:val="1"/>
      <w:sz w:val="20"/>
    </w:rPr>
  </w:style>
  <w:style w:styleId="Style_63" w:type="paragraph">
    <w:name w:val=".FORMATTEXT"/>
    <w:link w:val="Style_63_ch"/>
    <w:pPr>
      <w:widowControl w:val="0"/>
      <w:ind/>
    </w:pPr>
    <w:rPr>
      <w:sz w:val="24"/>
    </w:rPr>
  </w:style>
  <w:style w:styleId="Style_63_ch" w:type="character">
    <w:name w:val=".FORMATTEXT"/>
    <w:link w:val="Style_63"/>
    <w:rPr>
      <w:sz w:val="24"/>
    </w:rPr>
  </w:style>
  <w:style w:styleId="Style_64" w:type="paragraph">
    <w:name w:val="HTML Address"/>
    <w:basedOn w:val="Style_3"/>
    <w:link w:val="Style_64_ch"/>
    <w:pPr>
      <w:spacing w:line="360" w:lineRule="auto"/>
      <w:ind w:firstLine="709" w:left="1080"/>
      <w:jc w:val="both"/>
    </w:pPr>
    <w:rPr>
      <w:rFonts w:ascii="Arial" w:hAnsi="Arial"/>
      <w:i w:val="1"/>
      <w:spacing w:val="-5"/>
      <w:sz w:val="20"/>
    </w:rPr>
  </w:style>
  <w:style w:styleId="Style_64_ch" w:type="character">
    <w:name w:val="HTML Address"/>
    <w:basedOn w:val="Style_3_ch"/>
    <w:link w:val="Style_64"/>
    <w:rPr>
      <w:rFonts w:ascii="Arial" w:hAnsi="Arial"/>
      <w:i w:val="1"/>
      <w:spacing w:val="-5"/>
      <w:sz w:val="20"/>
    </w:rPr>
  </w:style>
  <w:style w:styleId="Style_65" w:type="paragraph">
    <w:name w:val="Табличный"/>
    <w:basedOn w:val="Style_3"/>
    <w:link w:val="Style_65_ch"/>
    <w:pPr>
      <w:keepNext w:val="1"/>
      <w:widowControl w:val="0"/>
      <w:spacing w:after="60" w:before="60"/>
      <w:ind/>
      <w:jc w:val="center"/>
    </w:pPr>
    <w:rPr>
      <w:b w:val="1"/>
      <w:sz w:val="22"/>
    </w:rPr>
  </w:style>
  <w:style w:styleId="Style_65_ch" w:type="character">
    <w:name w:val="Табличный"/>
    <w:basedOn w:val="Style_3_ch"/>
    <w:link w:val="Style_65"/>
    <w:rPr>
      <w:b w:val="1"/>
      <w:sz w:val="22"/>
    </w:rPr>
  </w:style>
  <w:style w:styleId="Style_66" w:type="paragraph">
    <w:name w:val="Body Text Indent 3"/>
    <w:basedOn w:val="Style_3"/>
    <w:link w:val="Style_66_ch"/>
    <w:pPr>
      <w:spacing w:line="360" w:lineRule="auto"/>
      <w:ind w:firstLine="709" w:left="708"/>
      <w:jc w:val="both"/>
    </w:pPr>
    <w:rPr>
      <w:sz w:val="28"/>
    </w:rPr>
  </w:style>
  <w:style w:styleId="Style_66_ch" w:type="character">
    <w:name w:val="Body Text Indent 3"/>
    <w:basedOn w:val="Style_3_ch"/>
    <w:link w:val="Style_66"/>
    <w:rPr>
      <w:sz w:val="28"/>
    </w:rPr>
  </w:style>
  <w:style w:styleId="Style_67" w:type="paragraph">
    <w:name w:val="S_Маркированный+Обычный"/>
    <w:basedOn w:val="Style_38"/>
    <w:link w:val="Style_67_ch"/>
    <w:pPr>
      <w:ind w:firstLine="0" w:left="0"/>
      <w:contextualSpacing w:val="0"/>
      <w:jc w:val="center"/>
    </w:pPr>
  </w:style>
  <w:style w:styleId="Style_67_ch" w:type="character">
    <w:name w:val="S_Маркированный+Обычный"/>
    <w:basedOn w:val="Style_38_ch"/>
    <w:link w:val="Style_67"/>
  </w:style>
  <w:style w:styleId="Style_68" w:type="paragraph">
    <w:name w:val="FollowedHyperlink"/>
    <w:link w:val="Style_68_ch"/>
    <w:rPr>
      <w:color w:val="800080"/>
      <w:u w:val="single"/>
    </w:rPr>
  </w:style>
  <w:style w:styleId="Style_68_ch" w:type="character">
    <w:name w:val="FollowedHyperlink"/>
    <w:link w:val="Style_68"/>
    <w:rPr>
      <w:color w:val="800080"/>
      <w:u w:val="single"/>
    </w:rPr>
  </w:style>
  <w:style w:styleId="Style_69" w:type="paragraph">
    <w:name w:val="heading 3"/>
    <w:basedOn w:val="Style_3"/>
    <w:next w:val="Style_8"/>
    <w:link w:val="Style_69_ch"/>
    <w:uiPriority w:val="9"/>
    <w:qFormat/>
    <w:pPr>
      <w:keepNext w:val="1"/>
      <w:numPr>
        <w:ilvl w:val="2"/>
        <w:numId w:val="6"/>
      </w:numPr>
      <w:tabs>
        <w:tab w:leader="none" w:pos="1276" w:val="left"/>
      </w:tabs>
      <w:spacing w:after="120" w:before="120"/>
      <w:ind/>
      <w:outlineLvl w:val="2"/>
    </w:pPr>
    <w:rPr>
      <w:b w:val="1"/>
      <w:sz w:val="26"/>
    </w:rPr>
  </w:style>
  <w:style w:styleId="Style_69_ch" w:type="character">
    <w:name w:val="heading 3"/>
    <w:basedOn w:val="Style_3_ch"/>
    <w:link w:val="Style_69"/>
    <w:rPr>
      <w:b w:val="1"/>
      <w:sz w:val="26"/>
    </w:rPr>
  </w:style>
  <w:style w:styleId="Style_70" w:type="paragraph">
    <w:name w:val="Содержание"/>
    <w:basedOn w:val="Style_3"/>
    <w:link w:val="Style_70_ch"/>
    <w:pPr>
      <w:widowControl w:val="0"/>
      <w:spacing w:after="240" w:before="240"/>
      <w:ind/>
      <w:jc w:val="center"/>
    </w:pPr>
    <w:rPr>
      <w:b w:val="1"/>
      <w:caps w:val="1"/>
    </w:rPr>
  </w:style>
  <w:style w:styleId="Style_70_ch" w:type="character">
    <w:name w:val="Содержание"/>
    <w:basedOn w:val="Style_3_ch"/>
    <w:link w:val="Style_70"/>
    <w:rPr>
      <w:b w:val="1"/>
      <w:caps w:val="1"/>
    </w:rPr>
  </w:style>
  <w:style w:styleId="Style_71" w:type="paragraph">
    <w:name w:val="Book Title"/>
    <w:link w:val="Style_71_ch"/>
    <w:rPr>
      <w:rFonts w:ascii="Cambria" w:hAnsi="Cambria"/>
      <w:b w:val="1"/>
      <w:i w:val="1"/>
      <w:color w:val="000000"/>
    </w:rPr>
  </w:style>
  <w:style w:styleId="Style_71_ch" w:type="character">
    <w:name w:val="Book Title"/>
    <w:link w:val="Style_71"/>
    <w:rPr>
      <w:rFonts w:ascii="Cambria" w:hAnsi="Cambria"/>
      <w:b w:val="1"/>
      <w:i w:val="1"/>
      <w:color w:val="000000"/>
    </w:rPr>
  </w:style>
  <w:style w:styleId="Style_72" w:type="paragraph">
    <w:name w:val="Balloon Text"/>
    <w:basedOn w:val="Style_3"/>
    <w:link w:val="Style_72_ch"/>
    <w:pPr>
      <w:widowControl w:val="0"/>
      <w:ind/>
      <w:jc w:val="both"/>
    </w:pPr>
    <w:rPr>
      <w:rFonts w:ascii="Tahoma" w:hAnsi="Tahoma"/>
      <w:sz w:val="16"/>
    </w:rPr>
  </w:style>
  <w:style w:styleId="Style_72_ch" w:type="character">
    <w:name w:val="Balloon Text"/>
    <w:basedOn w:val="Style_3_ch"/>
    <w:link w:val="Style_72"/>
    <w:rPr>
      <w:rFonts w:ascii="Tahoma" w:hAnsi="Tahoma"/>
      <w:sz w:val="16"/>
    </w:rPr>
  </w:style>
  <w:style w:styleId="Style_73" w:type="paragraph">
    <w:name w:val="Document Map"/>
    <w:basedOn w:val="Style_3"/>
    <w:link w:val="Style_73_ch"/>
    <w:pPr>
      <w:widowControl w:val="0"/>
      <w:ind/>
      <w:jc w:val="both"/>
    </w:pPr>
    <w:rPr>
      <w:rFonts w:ascii="Tahoma" w:hAnsi="Tahoma"/>
    </w:rPr>
  </w:style>
  <w:style w:styleId="Style_73_ch" w:type="character">
    <w:name w:val="Document Map"/>
    <w:basedOn w:val="Style_3_ch"/>
    <w:link w:val="Style_73"/>
    <w:rPr>
      <w:rFonts w:ascii="Tahoma" w:hAnsi="Tahoma"/>
    </w:rPr>
  </w:style>
  <w:style w:styleId="Style_74" w:type="paragraph">
    <w:name w:val="Default"/>
    <w:link w:val="Style_74_ch"/>
    <w:rPr>
      <w:color w:val="000000"/>
      <w:sz w:val="24"/>
    </w:rPr>
  </w:style>
  <w:style w:styleId="Style_74_ch" w:type="character">
    <w:name w:val="Default"/>
    <w:link w:val="Style_74"/>
    <w:rPr>
      <w:color w:val="000000"/>
      <w:sz w:val="24"/>
    </w:rPr>
  </w:style>
  <w:style w:styleId="Style_75" w:type="paragraph">
    <w:name w:val="S_Маркированный+Обычеый"/>
    <w:basedOn w:val="Style_38"/>
    <w:link w:val="Style_75_ch"/>
    <w:pPr>
      <w:numPr>
        <w:numId w:val="7"/>
      </w:numPr>
      <w:ind/>
      <w:contextualSpacing w:val="0"/>
    </w:pPr>
  </w:style>
  <w:style w:styleId="Style_75_ch" w:type="character">
    <w:name w:val="S_Маркированный+Обычеый"/>
    <w:basedOn w:val="Style_38_ch"/>
    <w:link w:val="Style_75"/>
  </w:style>
  <w:style w:styleId="Style_76" w:type="paragraph">
    <w:name w:val="Табличный_центр_10"/>
    <w:basedOn w:val="Style_3"/>
    <w:link w:val="Style_76_ch"/>
    <w:pPr>
      <w:keepNext w:val="1"/>
      <w:ind/>
      <w:jc w:val="center"/>
    </w:pPr>
    <w:rPr>
      <w:sz w:val="20"/>
    </w:rPr>
  </w:style>
  <w:style w:styleId="Style_76_ch" w:type="character">
    <w:name w:val="Табличный_центр_10"/>
    <w:basedOn w:val="Style_3_ch"/>
    <w:link w:val="Style_76"/>
    <w:rPr>
      <w:sz w:val="20"/>
    </w:rPr>
  </w:style>
  <w:style w:styleId="Style_77" w:type="paragraph">
    <w:name w:val="Нижний колонтитул Знак1"/>
    <w:link w:val="Style_77_ch"/>
    <w:rPr>
      <w:sz w:val="24"/>
    </w:rPr>
  </w:style>
  <w:style w:styleId="Style_77_ch" w:type="character">
    <w:name w:val="Нижний колонтитул Знак1"/>
    <w:link w:val="Style_77"/>
    <w:rPr>
      <w:sz w:val="24"/>
    </w:rPr>
  </w:style>
  <w:style w:styleId="Style_78" w:type="paragraph">
    <w:name w:val="table of figures"/>
    <w:basedOn w:val="Style_3"/>
    <w:next w:val="Style_3"/>
    <w:link w:val="Style_78_ch"/>
  </w:style>
  <w:style w:styleId="Style_78_ch" w:type="character">
    <w:name w:val="table of figures"/>
    <w:basedOn w:val="Style_3_ch"/>
    <w:link w:val="Style_78"/>
  </w:style>
  <w:style w:styleId="Style_79" w:type="paragraph">
    <w:name w:val="Date"/>
    <w:basedOn w:val="Style_3"/>
    <w:next w:val="Style_3"/>
    <w:link w:val="Style_79_ch"/>
    <w:pPr>
      <w:spacing w:line="360" w:lineRule="auto"/>
      <w:ind w:firstLine="709" w:left="1080"/>
      <w:jc w:val="both"/>
    </w:pPr>
    <w:rPr>
      <w:rFonts w:ascii="Arial" w:hAnsi="Arial"/>
      <w:spacing w:val="-5"/>
      <w:sz w:val="20"/>
    </w:rPr>
  </w:style>
  <w:style w:styleId="Style_79_ch" w:type="character">
    <w:name w:val="Date"/>
    <w:basedOn w:val="Style_3_ch"/>
    <w:link w:val="Style_79"/>
    <w:rPr>
      <w:rFonts w:ascii="Arial" w:hAnsi="Arial"/>
      <w:spacing w:val="-5"/>
      <w:sz w:val="20"/>
    </w:rPr>
  </w:style>
  <w:style w:styleId="Style_80" w:type="paragraph">
    <w:name w:val="endnote reference"/>
    <w:link w:val="Style_80_ch"/>
    <w:rPr>
      <w:vertAlign w:val="superscript"/>
    </w:rPr>
  </w:style>
  <w:style w:styleId="Style_80_ch" w:type="character">
    <w:name w:val="endnote reference"/>
    <w:link w:val="Style_80"/>
    <w:rPr>
      <w:vertAlign w:val="superscript"/>
    </w:rPr>
  </w:style>
  <w:style w:styleId="Style_81" w:type="paragraph">
    <w:name w:val="apple-style-span"/>
    <w:link w:val="Style_81_ch"/>
  </w:style>
  <w:style w:styleId="Style_81_ch" w:type="character">
    <w:name w:val="apple-style-span"/>
    <w:link w:val="Style_81"/>
  </w:style>
  <w:style w:styleId="Style_14" w:type="paragraph">
    <w:name w:val="Табличный_слева_10"/>
    <w:basedOn w:val="Style_3"/>
    <w:link w:val="Style_14_ch"/>
    <w:rPr>
      <w:sz w:val="20"/>
    </w:rPr>
  </w:style>
  <w:style w:styleId="Style_14_ch" w:type="character">
    <w:name w:val="Табличный_слева_10"/>
    <w:basedOn w:val="Style_3_ch"/>
    <w:link w:val="Style_14"/>
    <w:rPr>
      <w:sz w:val="20"/>
    </w:rPr>
  </w:style>
  <w:style w:styleId="Style_82" w:type="paragraph">
    <w:name w:val="Placeholder Text"/>
    <w:link w:val="Style_82_ch"/>
    <w:rPr>
      <w:color w:val="808080"/>
    </w:rPr>
  </w:style>
  <w:style w:styleId="Style_82_ch" w:type="character">
    <w:name w:val="Placeholder Text"/>
    <w:link w:val="Style_82"/>
    <w:rPr>
      <w:color w:val="808080"/>
    </w:rPr>
  </w:style>
  <w:style w:styleId="Style_83" w:type="paragraph">
    <w:name w:val="xl75"/>
    <w:basedOn w:val="Style_3"/>
    <w:link w:val="Style_83_ch"/>
    <w:pPr>
      <w:spacing w:afterAutospacing="on" w:beforeAutospacing="on"/>
      <w:ind/>
      <w:jc w:val="center"/>
    </w:pPr>
  </w:style>
  <w:style w:styleId="Style_83_ch" w:type="character">
    <w:name w:val="xl75"/>
    <w:basedOn w:val="Style_3_ch"/>
    <w:link w:val="Style_83"/>
  </w:style>
  <w:style w:styleId="Style_84" w:type="paragraph">
    <w:name w:val="Salutation"/>
    <w:basedOn w:val="Style_3"/>
    <w:next w:val="Style_3"/>
    <w:link w:val="Style_84_ch"/>
    <w:pPr>
      <w:spacing w:line="360" w:lineRule="auto"/>
      <w:ind w:firstLine="709" w:left="1080"/>
      <w:jc w:val="both"/>
    </w:pPr>
    <w:rPr>
      <w:rFonts w:ascii="Arial" w:hAnsi="Arial"/>
      <w:spacing w:val="-5"/>
      <w:sz w:val="20"/>
    </w:rPr>
  </w:style>
  <w:style w:styleId="Style_84_ch" w:type="character">
    <w:name w:val="Salutation"/>
    <w:basedOn w:val="Style_3_ch"/>
    <w:link w:val="Style_84"/>
    <w:rPr>
      <w:rFonts w:ascii="Arial" w:hAnsi="Arial"/>
      <w:spacing w:val="-5"/>
      <w:sz w:val="20"/>
    </w:rPr>
  </w:style>
  <w:style w:styleId="Style_85" w:type="paragraph">
    <w:name w:val="index heading"/>
    <w:basedOn w:val="Style_3"/>
    <w:next w:val="Style_25"/>
    <w:link w:val="Style_85_ch"/>
    <w:rPr>
      <w:rFonts w:ascii="Cambria" w:hAnsi="Cambria"/>
      <w:b w:val="1"/>
    </w:rPr>
  </w:style>
  <w:style w:styleId="Style_85_ch" w:type="character">
    <w:name w:val="index heading"/>
    <w:basedOn w:val="Style_3_ch"/>
    <w:link w:val="Style_85"/>
    <w:rPr>
      <w:rFonts w:ascii="Cambria" w:hAnsi="Cambria"/>
      <w:b w:val="1"/>
    </w:rPr>
  </w:style>
  <w:style w:styleId="Style_10" w:type="paragraph">
    <w:name w:val="caption"/>
    <w:basedOn w:val="Style_3"/>
    <w:next w:val="Style_3"/>
    <w:link w:val="Style_10_ch"/>
    <w:pPr>
      <w:keepNext w:val="1"/>
      <w:spacing w:after="120" w:before="120"/>
      <w:ind/>
      <w:jc w:val="center"/>
    </w:pPr>
    <w:rPr>
      <w:b w:val="1"/>
      <w:sz w:val="22"/>
    </w:rPr>
  </w:style>
  <w:style w:styleId="Style_10_ch" w:type="character">
    <w:name w:val="caption"/>
    <w:basedOn w:val="Style_3_ch"/>
    <w:link w:val="Style_10"/>
    <w:rPr>
      <w:b w:val="1"/>
      <w:sz w:val="22"/>
    </w:rPr>
  </w:style>
  <w:style w:styleId="Style_86" w:type="paragraph">
    <w:name w:val="S_Отступ"/>
    <w:basedOn w:val="Style_3"/>
    <w:link w:val="Style_86_ch"/>
    <w:pPr>
      <w:spacing w:line="360" w:lineRule="auto"/>
      <w:ind w:firstLine="709" w:left="0"/>
      <w:jc w:val="both"/>
    </w:pPr>
  </w:style>
  <w:style w:styleId="Style_86_ch" w:type="character">
    <w:name w:val="S_Отступ"/>
    <w:basedOn w:val="Style_3_ch"/>
    <w:link w:val="Style_86"/>
  </w:style>
  <w:style w:styleId="Style_87" w:type="paragraph">
    <w:name w:val="line number"/>
    <w:link w:val="Style_87_ch"/>
    <w:rPr>
      <w:sz w:val="18"/>
    </w:rPr>
  </w:style>
  <w:style w:styleId="Style_87_ch" w:type="character">
    <w:name w:val="line number"/>
    <w:link w:val="Style_87"/>
    <w:rPr>
      <w:sz w:val="18"/>
    </w:rPr>
  </w:style>
  <w:style w:styleId="Style_88" w:type="paragraph">
    <w:name w:val="Требования"/>
    <w:basedOn w:val="Style_3"/>
    <w:link w:val="Style_88_ch"/>
    <w:pPr>
      <w:numPr>
        <w:ilvl w:val="1"/>
        <w:numId w:val="8"/>
      </w:numPr>
      <w:spacing w:after="60" w:before="120"/>
      <w:ind w:firstLine="567" w:left="0"/>
      <w:jc w:val="both"/>
      <w:outlineLvl w:val="1"/>
    </w:pPr>
    <w:rPr>
      <w:i w:val="1"/>
    </w:rPr>
  </w:style>
  <w:style w:styleId="Style_88_ch" w:type="character">
    <w:name w:val="Требования"/>
    <w:basedOn w:val="Style_3_ch"/>
    <w:link w:val="Style_88"/>
    <w:rPr>
      <w:i w:val="1"/>
    </w:rPr>
  </w:style>
  <w:style w:styleId="Style_89" w:type="paragraph">
    <w:name w:val="List Bullet 5"/>
    <w:basedOn w:val="Style_38"/>
    <w:link w:val="Style_89_ch"/>
    <w:pPr>
      <w:tabs>
        <w:tab w:leader="none" w:pos="360" w:val="left"/>
      </w:tabs>
      <w:spacing w:after="240" w:line="240" w:lineRule="atLeast"/>
      <w:ind w:firstLine="0" w:left="2880"/>
      <w:contextualSpacing w:val="0"/>
    </w:pPr>
    <w:rPr>
      <w:rFonts w:ascii="Arial" w:hAnsi="Arial"/>
      <w:spacing w:val="-5"/>
      <w:sz w:val="20"/>
    </w:rPr>
  </w:style>
  <w:style w:styleId="Style_89_ch" w:type="character">
    <w:name w:val="List Bullet 5"/>
    <w:basedOn w:val="Style_38_ch"/>
    <w:link w:val="Style_89"/>
    <w:rPr>
      <w:rFonts w:ascii="Arial" w:hAnsi="Arial"/>
      <w:spacing w:val="-5"/>
      <w:sz w:val="20"/>
    </w:rPr>
  </w:style>
  <w:style w:styleId="Style_90" w:type="paragraph">
    <w:name w:val="ГРАД Основной текст"/>
    <w:basedOn w:val="Style_3"/>
    <w:link w:val="Style_90_ch"/>
    <w:pPr>
      <w:tabs>
        <w:tab w:leader="none" w:pos="540" w:val="left"/>
        <w:tab w:leader="none" w:pos="1260" w:val="left"/>
        <w:tab w:leader="none" w:pos="1620" w:val="left"/>
      </w:tabs>
      <w:ind w:firstLine="709" w:left="0"/>
      <w:jc w:val="both"/>
    </w:pPr>
    <w:rPr>
      <w:spacing w:val="4"/>
    </w:rPr>
  </w:style>
  <w:style w:styleId="Style_90_ch" w:type="character">
    <w:name w:val="ГРАД Основной текст"/>
    <w:basedOn w:val="Style_3_ch"/>
    <w:link w:val="Style_90"/>
    <w:rPr>
      <w:spacing w:val="4"/>
    </w:rPr>
  </w:style>
  <w:style w:styleId="Style_91" w:type="paragraph">
    <w:name w:val="table of authorities"/>
    <w:basedOn w:val="Style_3"/>
    <w:next w:val="Style_3"/>
    <w:link w:val="Style_91_ch"/>
    <w:pPr>
      <w:ind w:hanging="240" w:left="240"/>
    </w:pPr>
  </w:style>
  <w:style w:styleId="Style_91_ch" w:type="character">
    <w:name w:val="table of authorities"/>
    <w:basedOn w:val="Style_3_ch"/>
    <w:link w:val="Style_91"/>
  </w:style>
  <w:style w:styleId="Style_12" w:type="paragraph">
    <w:name w:val="ConsPlusNormal"/>
    <w:link w:val="Style_12_ch"/>
    <w:pPr>
      <w:widowControl w:val="0"/>
      <w:ind w:firstLine="720" w:left="0"/>
    </w:pPr>
    <w:rPr>
      <w:rFonts w:ascii="Arial" w:hAnsi="Arial"/>
    </w:rPr>
  </w:style>
  <w:style w:styleId="Style_12_ch" w:type="character">
    <w:name w:val="ConsPlusNormal"/>
    <w:link w:val="Style_12"/>
    <w:rPr>
      <w:rFonts w:ascii="Arial" w:hAnsi="Arial"/>
    </w:rPr>
  </w:style>
  <w:style w:styleId="Style_92" w:type="paragraph">
    <w:name w:val="HTML Keyboard"/>
    <w:link w:val="Style_92_ch"/>
    <w:rPr>
      <w:rFonts w:ascii="Courier New" w:hAnsi="Courier New"/>
      <w:sz w:val="20"/>
    </w:rPr>
  </w:style>
  <w:style w:styleId="Style_92_ch" w:type="character">
    <w:name w:val="HTML Keyboard"/>
    <w:link w:val="Style_92"/>
    <w:rPr>
      <w:rFonts w:ascii="Courier New" w:hAnsi="Courier New"/>
      <w:sz w:val="20"/>
    </w:rPr>
  </w:style>
  <w:style w:styleId="Style_93" w:type="paragraph">
    <w:name w:val="heading 9"/>
    <w:basedOn w:val="Style_3"/>
    <w:next w:val="Style_3"/>
    <w:link w:val="Style_93_ch"/>
    <w:uiPriority w:val="9"/>
    <w:qFormat/>
    <w:pPr>
      <w:numPr>
        <w:ilvl w:val="8"/>
        <w:numId w:val="6"/>
      </w:numPr>
      <w:spacing w:after="60" w:before="240"/>
      <w:ind/>
      <w:outlineLvl w:val="8"/>
    </w:pPr>
    <w:rPr>
      <w:rFonts w:ascii="Arial" w:hAnsi="Arial"/>
      <w:sz w:val="22"/>
    </w:rPr>
  </w:style>
  <w:style w:styleId="Style_93_ch" w:type="character">
    <w:name w:val="heading 9"/>
    <w:basedOn w:val="Style_3_ch"/>
    <w:link w:val="Style_93"/>
    <w:rPr>
      <w:rFonts w:ascii="Arial" w:hAnsi="Arial"/>
      <w:sz w:val="22"/>
    </w:rPr>
  </w:style>
  <w:style w:styleId="Style_94" w:type="paragraph">
    <w:name w:val="xl82"/>
    <w:basedOn w:val="Style_3"/>
    <w:link w:val="Style_94_ch"/>
    <w:pPr>
      <w:spacing w:afterAutospacing="on" w:beforeAutospacing="on"/>
      <w:ind/>
      <w:jc w:val="center"/>
    </w:pPr>
    <w:rPr>
      <w:b w:val="1"/>
    </w:rPr>
  </w:style>
  <w:style w:styleId="Style_94_ch" w:type="character">
    <w:name w:val="xl82"/>
    <w:basedOn w:val="Style_3_ch"/>
    <w:link w:val="Style_94"/>
    <w:rPr>
      <w:b w:val="1"/>
    </w:rPr>
  </w:style>
  <w:style w:styleId="Style_95" w:type="paragraph">
    <w:name w:val="Табличный_нумерованный"/>
    <w:basedOn w:val="Style_3"/>
    <w:link w:val="Style_95_ch"/>
    <w:pPr>
      <w:numPr>
        <w:numId w:val="9"/>
      </w:numPr>
    </w:pPr>
    <w:rPr>
      <w:sz w:val="22"/>
    </w:rPr>
  </w:style>
  <w:style w:styleId="Style_95_ch" w:type="character">
    <w:name w:val="Табличный_нумерованный"/>
    <w:basedOn w:val="Style_3_ch"/>
    <w:link w:val="Style_95"/>
    <w:rPr>
      <w:sz w:val="22"/>
    </w:rPr>
  </w:style>
  <w:style w:styleId="Style_96" w:type="paragraph">
    <w:name w:val="раздел МНГП"/>
    <w:basedOn w:val="Style_6"/>
    <w:link w:val="Style_96_ch"/>
    <w:pPr>
      <w:keepLines w:val="1"/>
      <w:tabs>
        <w:tab w:leader="none" w:pos="426" w:val="center"/>
        <w:tab w:leader="none" w:pos="851" w:val="clear"/>
      </w:tabs>
      <w:spacing w:after="0" w:before="120"/>
      <w:ind/>
    </w:pPr>
    <w:rPr>
      <w:caps w:val="0"/>
      <w:color w:val="000000"/>
    </w:rPr>
  </w:style>
  <w:style w:styleId="Style_96_ch" w:type="character">
    <w:name w:val="раздел МНГП"/>
    <w:basedOn w:val="Style_6_ch"/>
    <w:link w:val="Style_96"/>
    <w:rPr>
      <w:caps w:val="0"/>
      <w:color w:val="000000"/>
    </w:rPr>
  </w:style>
  <w:style w:styleId="Style_97" w:type="paragraph">
    <w:name w:val="Subtle Reference"/>
    <w:link w:val="Style_97_ch"/>
    <w:rPr>
      <w:color w:val="000000"/>
      <w:u w:color="9BBB59" w:val="single"/>
    </w:rPr>
  </w:style>
  <w:style w:styleId="Style_97_ch" w:type="character">
    <w:name w:val="Subtle Reference"/>
    <w:link w:val="Style_97"/>
    <w:rPr>
      <w:color w:val="000000"/>
      <w:u w:color="9BBB59" w:val="single"/>
    </w:rPr>
  </w:style>
  <w:style w:styleId="Style_98" w:type="paragraph">
    <w:name w:val="xl73"/>
    <w:basedOn w:val="Style_3"/>
    <w:link w:val="Style_98_ch"/>
    <w:pPr>
      <w:spacing w:afterAutospacing="on" w:beforeAutospacing="on"/>
      <w:ind/>
      <w:jc w:val="center"/>
    </w:pPr>
  </w:style>
  <w:style w:styleId="Style_98_ch" w:type="character">
    <w:name w:val="xl73"/>
    <w:basedOn w:val="Style_3_ch"/>
    <w:link w:val="Style_98"/>
  </w:style>
  <w:style w:styleId="Style_99" w:type="paragraph">
    <w:name w:val="w"/>
    <w:link w:val="Style_99_ch"/>
  </w:style>
  <w:style w:styleId="Style_99_ch" w:type="character">
    <w:name w:val="w"/>
    <w:link w:val="Style_99"/>
  </w:style>
  <w:style w:styleId="Style_100" w:type="paragraph">
    <w:name w:val="xl69"/>
    <w:basedOn w:val="Style_3"/>
    <w:link w:val="Style_100_ch"/>
    <w:pPr>
      <w:spacing w:afterAutospacing="on" w:beforeAutospacing="on"/>
      <w:ind/>
      <w:jc w:val="center"/>
    </w:pPr>
    <w:rPr>
      <w:sz w:val="20"/>
    </w:rPr>
  </w:style>
  <w:style w:styleId="Style_100_ch" w:type="character">
    <w:name w:val="xl69"/>
    <w:basedOn w:val="Style_3_ch"/>
    <w:link w:val="Style_100"/>
    <w:rPr>
      <w:sz w:val="20"/>
    </w:rPr>
  </w:style>
  <w:style w:styleId="Style_101" w:type="paragraph">
    <w:name w:val="Closing"/>
    <w:basedOn w:val="Style_3"/>
    <w:link w:val="Style_101_ch"/>
    <w:pPr>
      <w:spacing w:line="360" w:lineRule="auto"/>
      <w:ind w:firstLine="709" w:left="4252"/>
      <w:jc w:val="both"/>
    </w:pPr>
    <w:rPr>
      <w:rFonts w:ascii="Arial" w:hAnsi="Arial"/>
      <w:spacing w:val="-5"/>
      <w:sz w:val="20"/>
    </w:rPr>
  </w:style>
  <w:style w:styleId="Style_101_ch" w:type="character">
    <w:name w:val="Closing"/>
    <w:basedOn w:val="Style_3_ch"/>
    <w:link w:val="Style_101"/>
    <w:rPr>
      <w:rFonts w:ascii="Arial" w:hAnsi="Arial"/>
      <w:spacing w:val="-5"/>
      <w:sz w:val="20"/>
    </w:rPr>
  </w:style>
  <w:style w:styleId="Style_102" w:type="paragraph">
    <w:name w:val="Основной текст1"/>
    <w:basedOn w:val="Style_3"/>
    <w:link w:val="Style_102_ch"/>
    <w:pPr>
      <w:spacing w:after="60" w:before="60"/>
      <w:ind w:firstLine="567" w:left="0"/>
      <w:jc w:val="both"/>
    </w:pPr>
    <w:rPr>
      <w:rFonts w:ascii="Arial" w:hAnsi="Arial"/>
      <w:sz w:val="22"/>
    </w:rPr>
  </w:style>
  <w:style w:styleId="Style_102_ch" w:type="character">
    <w:name w:val="Основной текст1"/>
    <w:basedOn w:val="Style_3_ch"/>
    <w:link w:val="Style_102"/>
    <w:rPr>
      <w:rFonts w:ascii="Arial" w:hAnsi="Arial"/>
      <w:sz w:val="22"/>
    </w:rPr>
  </w:style>
  <w:style w:styleId="Style_103" w:type="paragraph">
    <w:name w:val="список"/>
    <w:basedOn w:val="Style_17"/>
    <w:link w:val="Style_103_ch"/>
    <w:pPr>
      <w:tabs>
        <w:tab w:leader="none" w:pos="851" w:val="left"/>
      </w:tabs>
      <w:spacing w:after="60" w:before="120" w:line="240" w:lineRule="auto"/>
      <w:ind w:hanging="360" w:left="1287"/>
    </w:pPr>
    <w:rPr>
      <w:rFonts w:ascii="Tahoma" w:hAnsi="Tahoma"/>
    </w:rPr>
  </w:style>
  <w:style w:styleId="Style_103_ch" w:type="character">
    <w:name w:val="список"/>
    <w:basedOn w:val="Style_17_ch"/>
    <w:link w:val="Style_103"/>
    <w:rPr>
      <w:rFonts w:ascii="Tahoma" w:hAnsi="Tahoma"/>
    </w:rPr>
  </w:style>
  <w:style w:styleId="Style_104" w:type="paragraph">
    <w:name w:val="Body Text 3"/>
    <w:basedOn w:val="Style_3"/>
    <w:link w:val="Style_104_ch"/>
    <w:pPr>
      <w:spacing w:after="120" w:line="360" w:lineRule="auto"/>
      <w:ind w:firstLine="680" w:left="0"/>
      <w:jc w:val="both"/>
    </w:pPr>
    <w:rPr>
      <w:sz w:val="16"/>
    </w:rPr>
  </w:style>
  <w:style w:styleId="Style_104_ch" w:type="character">
    <w:name w:val="Body Text 3"/>
    <w:basedOn w:val="Style_3_ch"/>
    <w:link w:val="Style_104"/>
    <w:rPr>
      <w:sz w:val="16"/>
    </w:rPr>
  </w:style>
  <w:style w:styleId="Style_105" w:type="paragraph">
    <w:name w:val="Обычный1"/>
    <w:link w:val="Style_105_ch"/>
    <w:pPr>
      <w:spacing w:after="100" w:before="100"/>
      <w:ind/>
    </w:pPr>
    <w:rPr>
      <w:sz w:val="24"/>
    </w:rPr>
  </w:style>
  <w:style w:styleId="Style_105_ch" w:type="character">
    <w:name w:val="Обычный1"/>
    <w:link w:val="Style_105"/>
    <w:rPr>
      <w:sz w:val="24"/>
    </w:rPr>
  </w:style>
  <w:style w:styleId="Style_106" w:type="paragraph">
    <w:name w:val="S_Маркированный"/>
    <w:basedOn w:val="Style_38"/>
    <w:link w:val="Style_106_ch"/>
    <w:pPr>
      <w:spacing w:line="240" w:lineRule="auto"/>
      <w:ind w:firstLine="0" w:left="0"/>
      <w:contextualSpacing w:val="0"/>
      <w:jc w:val="left"/>
    </w:pPr>
    <w:rPr>
      <w:b w:val="1"/>
      <w:caps w:val="1"/>
      <w:sz w:val="20"/>
    </w:rPr>
  </w:style>
  <w:style w:styleId="Style_106_ch" w:type="character">
    <w:name w:val="S_Маркированный"/>
    <w:basedOn w:val="Style_38_ch"/>
    <w:link w:val="Style_106"/>
    <w:rPr>
      <w:b w:val="1"/>
      <w:caps w:val="1"/>
      <w:sz w:val="20"/>
    </w:rPr>
  </w:style>
  <w:style w:styleId="Style_107" w:type="paragraph">
    <w:name w:val="Таблица_название_таблицы"/>
    <w:next w:val="Style_8"/>
    <w:link w:val="Style_107_ch"/>
    <w:pPr>
      <w:keepNext w:val="1"/>
      <w:spacing w:after="60" w:before="60"/>
      <w:ind/>
      <w:jc w:val="center"/>
    </w:pPr>
    <w:rPr>
      <w:b w:val="1"/>
      <w:sz w:val="22"/>
    </w:rPr>
  </w:style>
  <w:style w:styleId="Style_107_ch" w:type="character">
    <w:name w:val="Таблица_название_таблицы"/>
    <w:link w:val="Style_107"/>
    <w:rPr>
      <w:b w:val="1"/>
      <w:sz w:val="22"/>
    </w:rPr>
  </w:style>
  <w:style w:styleId="Style_108" w:type="paragraph">
    <w:name w:val="S_Обложка_проект"/>
    <w:basedOn w:val="Style_3"/>
    <w:link w:val="Style_108_ch"/>
    <w:pPr>
      <w:spacing w:line="360" w:lineRule="auto"/>
      <w:ind w:firstLine="0" w:left="3240"/>
      <w:jc w:val="right"/>
    </w:pPr>
    <w:rPr>
      <w:caps w:val="1"/>
    </w:rPr>
  </w:style>
  <w:style w:styleId="Style_108_ch" w:type="character">
    <w:name w:val="S_Обложка_проект"/>
    <w:basedOn w:val="Style_3_ch"/>
    <w:link w:val="Style_108"/>
    <w:rPr>
      <w:caps w:val="1"/>
    </w:rPr>
  </w:style>
  <w:style w:styleId="Style_109" w:type="paragraph">
    <w:name w:val="S_Список литературы"/>
    <w:basedOn w:val="Style_16"/>
    <w:link w:val="Style_109_ch"/>
    <w:pPr>
      <w:spacing w:after="0" w:before="0"/>
      <w:ind w:firstLine="0" w:left="1418"/>
    </w:pPr>
    <w:rPr>
      <w:sz w:val="20"/>
    </w:rPr>
  </w:style>
  <w:style w:styleId="Style_109_ch" w:type="character">
    <w:name w:val="S_Список литературы"/>
    <w:basedOn w:val="Style_16_ch"/>
    <w:link w:val="Style_109"/>
    <w:rPr>
      <w:sz w:val="20"/>
    </w:rPr>
  </w:style>
  <w:style w:styleId="Style_110" w:type="paragraph">
    <w:name w:val="Font Style20"/>
    <w:link w:val="Style_110_ch"/>
    <w:rPr>
      <w:rFonts w:ascii="Times New Roman" w:hAnsi="Times New Roman"/>
      <w:sz w:val="22"/>
    </w:rPr>
  </w:style>
  <w:style w:styleId="Style_110_ch" w:type="character">
    <w:name w:val="Font Style20"/>
    <w:link w:val="Style_110"/>
    <w:rPr>
      <w:rFonts w:ascii="Times New Roman" w:hAnsi="Times New Roman"/>
      <w:sz w:val="22"/>
    </w:rPr>
  </w:style>
  <w:style w:styleId="Style_111" w:type="paragraph">
    <w:name w:val="Strong"/>
    <w:link w:val="Style_111_ch"/>
    <w:rPr>
      <w:b w:val="1"/>
      <w:spacing w:val="0"/>
    </w:rPr>
  </w:style>
  <w:style w:styleId="Style_111_ch" w:type="character">
    <w:name w:val="Strong"/>
    <w:link w:val="Style_111"/>
    <w:rPr>
      <w:b w:val="1"/>
      <w:spacing w:val="0"/>
    </w:rPr>
  </w:style>
  <w:style w:styleId="Style_112" w:type="paragraph">
    <w:name w:val="xl67"/>
    <w:basedOn w:val="Style_3"/>
    <w:link w:val="Style_112_ch"/>
    <w:pPr>
      <w:spacing w:afterAutospacing="on" w:beforeAutospacing="on"/>
      <w:ind/>
      <w:jc w:val="center"/>
    </w:pPr>
    <w:rPr>
      <w:b w:val="1"/>
      <w:sz w:val="20"/>
    </w:rPr>
  </w:style>
  <w:style w:styleId="Style_112_ch" w:type="character">
    <w:name w:val="xl67"/>
    <w:basedOn w:val="Style_3_ch"/>
    <w:link w:val="Style_112"/>
    <w:rPr>
      <w:b w:val="1"/>
      <w:sz w:val="20"/>
    </w:rPr>
  </w:style>
  <w:style w:styleId="Style_113" w:type="paragraph">
    <w:name w:val="Body Text Indent 2"/>
    <w:basedOn w:val="Style_3"/>
    <w:link w:val="Style_113_ch"/>
    <w:pPr>
      <w:spacing w:after="120" w:line="480" w:lineRule="auto"/>
      <w:ind w:firstLine="680" w:left="283"/>
      <w:jc w:val="both"/>
    </w:pPr>
  </w:style>
  <w:style w:styleId="Style_113_ch" w:type="character">
    <w:name w:val="Body Text Indent 2"/>
    <w:basedOn w:val="Style_3_ch"/>
    <w:link w:val="Style_113"/>
  </w:style>
  <w:style w:styleId="Style_114" w:type="paragraph">
    <w:name w:val="HTML Typewriter"/>
    <w:link w:val="Style_114_ch"/>
    <w:rPr>
      <w:rFonts w:ascii="Courier New" w:hAnsi="Courier New"/>
      <w:sz w:val="20"/>
    </w:rPr>
  </w:style>
  <w:style w:styleId="Style_114_ch" w:type="character">
    <w:name w:val="HTML Typewriter"/>
    <w:link w:val="Style_114"/>
    <w:rPr>
      <w:rFonts w:ascii="Courier New" w:hAnsi="Courier New"/>
      <w:sz w:val="20"/>
    </w:rPr>
  </w:style>
  <w:style w:styleId="Style_115" w:type="paragraph">
    <w:name w:val="index 3"/>
    <w:basedOn w:val="Style_3"/>
    <w:next w:val="Style_3"/>
    <w:link w:val="Style_115_ch"/>
    <w:pPr>
      <w:ind w:hanging="240" w:left="720"/>
    </w:pPr>
  </w:style>
  <w:style w:styleId="Style_115_ch" w:type="character">
    <w:name w:val="index 3"/>
    <w:basedOn w:val="Style_3_ch"/>
    <w:link w:val="Style_115"/>
  </w:style>
  <w:style w:styleId="Style_116" w:type="paragraph">
    <w:name w:val="Символ сноски"/>
    <w:link w:val="Style_116_ch"/>
  </w:style>
  <w:style w:styleId="Style_116_ch" w:type="character">
    <w:name w:val="Символ сноски"/>
    <w:link w:val="Style_116"/>
  </w:style>
  <w:style w:styleId="Style_17" w:type="paragraph">
    <w:name w:val="List Paragraph"/>
    <w:basedOn w:val="Style_3"/>
    <w:link w:val="Style_17_ch"/>
    <w:pPr>
      <w:spacing w:line="360" w:lineRule="auto"/>
      <w:ind w:firstLine="680" w:left="708"/>
      <w:jc w:val="both"/>
    </w:pPr>
  </w:style>
  <w:style w:styleId="Style_17_ch" w:type="character">
    <w:name w:val="List Paragraph"/>
    <w:basedOn w:val="Style_3_ch"/>
    <w:link w:val="Style_17"/>
  </w:style>
  <w:style w:styleId="Style_117" w:type="paragraph">
    <w:name w:val="apple-converted-space"/>
    <w:link w:val="Style_117_ch"/>
  </w:style>
  <w:style w:styleId="Style_117_ch" w:type="character">
    <w:name w:val="apple-converted-space"/>
    <w:link w:val="Style_117"/>
  </w:style>
  <w:style w:styleId="Style_118" w:type="paragraph">
    <w:name w:val="Обычный2"/>
    <w:link w:val="Style_118_ch"/>
    <w:pPr>
      <w:spacing w:after="100" w:before="100"/>
      <w:ind/>
    </w:pPr>
    <w:rPr>
      <w:sz w:val="24"/>
    </w:rPr>
  </w:style>
  <w:style w:styleId="Style_118_ch" w:type="character">
    <w:name w:val="Обычный2"/>
    <w:link w:val="Style_118"/>
    <w:rPr>
      <w:sz w:val="24"/>
    </w:rPr>
  </w:style>
  <w:style w:styleId="Style_119" w:type="paragraph">
    <w:name w:val="xl85"/>
    <w:basedOn w:val="Style_3"/>
    <w:link w:val="Style_119_ch"/>
    <w:pPr>
      <w:spacing w:afterAutospacing="on" w:beforeAutospacing="on"/>
      <w:ind/>
    </w:pPr>
    <w:rPr>
      <w:b w:val="1"/>
      <w:sz w:val="16"/>
    </w:rPr>
  </w:style>
  <w:style w:styleId="Style_119_ch" w:type="character">
    <w:name w:val="xl85"/>
    <w:basedOn w:val="Style_3_ch"/>
    <w:link w:val="Style_119"/>
    <w:rPr>
      <w:b w:val="1"/>
      <w:sz w:val="16"/>
    </w:rPr>
  </w:style>
  <w:style w:styleId="Style_120" w:type="paragraph">
    <w:name w:val="ConsPlusTitlePage"/>
    <w:link w:val="Style_120_ch"/>
    <w:pPr>
      <w:widowControl w:val="0"/>
      <w:ind/>
    </w:pPr>
    <w:rPr>
      <w:rFonts w:ascii="Tahoma" w:hAnsi="Tahoma"/>
    </w:rPr>
  </w:style>
  <w:style w:styleId="Style_120_ch" w:type="character">
    <w:name w:val="ConsPlusTitlePage"/>
    <w:link w:val="Style_120"/>
    <w:rPr>
      <w:rFonts w:ascii="Tahoma" w:hAnsi="Tahoma"/>
    </w:rPr>
  </w:style>
  <w:style w:styleId="Style_121" w:type="paragraph">
    <w:name w:val="xl83"/>
    <w:basedOn w:val="Style_3"/>
    <w:link w:val="Style_121_ch"/>
    <w:pPr>
      <w:spacing w:afterAutospacing="on" w:beforeAutospacing="on"/>
      <w:ind/>
      <w:jc w:val="center"/>
    </w:pPr>
    <w:rPr>
      <w:b w:val="1"/>
    </w:rPr>
  </w:style>
  <w:style w:styleId="Style_121_ch" w:type="character">
    <w:name w:val="xl83"/>
    <w:basedOn w:val="Style_3_ch"/>
    <w:link w:val="Style_121"/>
    <w:rPr>
      <w:b w:val="1"/>
    </w:rPr>
  </w:style>
  <w:style w:styleId="Style_122" w:type="paragraph">
    <w:name w:val="List Bullet 2"/>
    <w:basedOn w:val="Style_38"/>
    <w:link w:val="Style_122_ch"/>
    <w:pPr>
      <w:tabs>
        <w:tab w:leader="none" w:pos="360" w:val="left"/>
      </w:tabs>
      <w:spacing w:after="240" w:line="240" w:lineRule="atLeast"/>
      <w:ind w:firstLine="0" w:left="1800"/>
      <w:contextualSpacing w:val="0"/>
    </w:pPr>
    <w:rPr>
      <w:rFonts w:ascii="Arial" w:hAnsi="Arial"/>
      <w:spacing w:val="-5"/>
      <w:sz w:val="20"/>
    </w:rPr>
  </w:style>
  <w:style w:styleId="Style_122_ch" w:type="character">
    <w:name w:val="List Bullet 2"/>
    <w:basedOn w:val="Style_38_ch"/>
    <w:link w:val="Style_122"/>
    <w:rPr>
      <w:rFonts w:ascii="Arial" w:hAnsi="Arial"/>
      <w:spacing w:val="-5"/>
      <w:sz w:val="20"/>
    </w:rPr>
  </w:style>
  <w:style w:styleId="Style_123" w:type="paragraph">
    <w:name w:val="Табличный_по ширине"/>
    <w:basedOn w:val="Style_124"/>
    <w:link w:val="Style_123_ch"/>
    <w:pPr>
      <w:ind/>
      <w:jc w:val="both"/>
    </w:pPr>
  </w:style>
  <w:style w:styleId="Style_123_ch" w:type="character">
    <w:name w:val="Табличный_по ширине"/>
    <w:basedOn w:val="Style_124_ch"/>
    <w:link w:val="Style_123"/>
  </w:style>
  <w:style w:styleId="Style_125" w:type="paragraph">
    <w:name w:val="formattext"/>
    <w:basedOn w:val="Style_3"/>
    <w:link w:val="Style_125_ch"/>
    <w:pPr>
      <w:spacing w:afterAutospacing="on" w:beforeAutospacing="on"/>
      <w:ind/>
    </w:pPr>
  </w:style>
  <w:style w:styleId="Style_125_ch" w:type="character">
    <w:name w:val="formattext"/>
    <w:basedOn w:val="Style_3_ch"/>
    <w:link w:val="Style_125"/>
  </w:style>
  <w:style w:styleId="Style_126" w:type="paragraph">
    <w:name w:val="S_Обычный в таблице"/>
    <w:basedOn w:val="Style_3"/>
    <w:link w:val="Style_126_ch"/>
    <w:pPr>
      <w:spacing w:line="360" w:lineRule="auto"/>
      <w:ind/>
      <w:jc w:val="center"/>
    </w:pPr>
  </w:style>
  <w:style w:styleId="Style_126_ch" w:type="character">
    <w:name w:val="S_Обычный в таблице"/>
    <w:basedOn w:val="Style_3_ch"/>
    <w:link w:val="Style_126"/>
  </w:style>
  <w:style w:styleId="Style_9" w:type="paragraph">
    <w:name w:val="List"/>
    <w:basedOn w:val="Style_3"/>
    <w:link w:val="Style_9_ch"/>
    <w:pPr>
      <w:numPr>
        <w:numId w:val="10"/>
      </w:numPr>
      <w:spacing w:after="60"/>
      <w:ind w:firstLine="0" w:left="0"/>
      <w:jc w:val="both"/>
    </w:pPr>
  </w:style>
  <w:style w:styleId="Style_9_ch" w:type="character">
    <w:name w:val="List"/>
    <w:basedOn w:val="Style_3_ch"/>
    <w:link w:val="Style_9"/>
  </w:style>
  <w:style w:styleId="Style_127" w:type="paragraph">
    <w:name w:val="toc 3"/>
    <w:basedOn w:val="Style_3"/>
    <w:next w:val="Style_3"/>
    <w:link w:val="Style_127_ch"/>
    <w:uiPriority w:val="39"/>
    <w:pPr>
      <w:ind w:firstLine="0" w:left="480"/>
    </w:pPr>
    <w:rPr>
      <w:i w:val="1"/>
      <w:sz w:val="20"/>
    </w:rPr>
  </w:style>
  <w:style w:styleId="Style_127_ch" w:type="character">
    <w:name w:val="toc 3"/>
    <w:basedOn w:val="Style_3_ch"/>
    <w:link w:val="Style_127"/>
    <w:rPr>
      <w:i w:val="1"/>
      <w:sz w:val="20"/>
    </w:rPr>
  </w:style>
  <w:style w:styleId="Style_128" w:type="paragraph">
    <w:name w:val="xl76"/>
    <w:basedOn w:val="Style_3"/>
    <w:link w:val="Style_128_ch"/>
    <w:pPr>
      <w:spacing w:afterAutospacing="on" w:beforeAutospacing="on"/>
      <w:ind/>
      <w:jc w:val="center"/>
    </w:pPr>
  </w:style>
  <w:style w:styleId="Style_128_ch" w:type="character">
    <w:name w:val="xl76"/>
    <w:basedOn w:val="Style_3_ch"/>
    <w:link w:val="Style_128"/>
  </w:style>
  <w:style w:styleId="Style_129" w:type="paragraph">
    <w:name w:val="List Bullet 3"/>
    <w:basedOn w:val="Style_38"/>
    <w:link w:val="Style_129_ch"/>
    <w:pPr>
      <w:tabs>
        <w:tab w:leader="none" w:pos="360" w:val="left"/>
      </w:tabs>
      <w:spacing w:after="240" w:line="240" w:lineRule="atLeast"/>
      <w:ind w:firstLine="0" w:left="2160"/>
      <w:contextualSpacing w:val="0"/>
    </w:pPr>
    <w:rPr>
      <w:rFonts w:ascii="Arial" w:hAnsi="Arial"/>
      <w:spacing w:val="-5"/>
      <w:sz w:val="20"/>
    </w:rPr>
  </w:style>
  <w:style w:styleId="Style_129_ch" w:type="character">
    <w:name w:val="List Bullet 3"/>
    <w:basedOn w:val="Style_38_ch"/>
    <w:link w:val="Style_129"/>
    <w:rPr>
      <w:rFonts w:ascii="Arial" w:hAnsi="Arial"/>
      <w:spacing w:val="-5"/>
      <w:sz w:val="20"/>
    </w:rPr>
  </w:style>
  <w:style w:styleId="Style_130" w:type="paragraph">
    <w:name w:val="Табличный_справа"/>
    <w:basedOn w:val="Style_3"/>
    <w:link w:val="Style_130_ch"/>
    <w:pPr>
      <w:ind/>
      <w:jc w:val="right"/>
    </w:pPr>
    <w:rPr>
      <w:sz w:val="22"/>
    </w:rPr>
  </w:style>
  <w:style w:styleId="Style_130_ch" w:type="character">
    <w:name w:val="Табличный_справа"/>
    <w:basedOn w:val="Style_3_ch"/>
    <w:link w:val="Style_130"/>
    <w:rPr>
      <w:sz w:val="22"/>
    </w:rPr>
  </w:style>
  <w:style w:styleId="Style_131" w:type="paragraph">
    <w:name w:val="ConsPlusTextList"/>
    <w:link w:val="Style_131_ch"/>
    <w:pPr>
      <w:widowControl w:val="0"/>
      <w:ind/>
    </w:pPr>
    <w:rPr>
      <w:rFonts w:ascii="Arial" w:hAnsi="Arial"/>
    </w:rPr>
  </w:style>
  <w:style w:styleId="Style_131_ch" w:type="character">
    <w:name w:val="ConsPlusTextList"/>
    <w:link w:val="Style_131"/>
    <w:rPr>
      <w:rFonts w:ascii="Arial" w:hAnsi="Arial"/>
    </w:rPr>
  </w:style>
  <w:style w:styleId="Style_132" w:type="paragraph">
    <w:name w:val="HTML Acronym"/>
    <w:link w:val="Style_132_ch"/>
  </w:style>
  <w:style w:styleId="Style_132_ch" w:type="character">
    <w:name w:val="HTML Acronym"/>
    <w:link w:val="Style_132"/>
  </w:style>
  <w:style w:styleId="Style_133" w:type="paragraph">
    <w:name w:val="ConsPlusCell"/>
    <w:link w:val="Style_133_ch"/>
    <w:pPr>
      <w:widowControl w:val="0"/>
      <w:ind/>
    </w:pPr>
    <w:rPr>
      <w:rFonts w:ascii="Calibri" w:hAnsi="Calibri"/>
      <w:sz w:val="22"/>
    </w:rPr>
  </w:style>
  <w:style w:styleId="Style_133_ch" w:type="character">
    <w:name w:val="ConsPlusCell"/>
    <w:link w:val="Style_133"/>
    <w:rPr>
      <w:rFonts w:ascii="Calibri" w:hAnsi="Calibri"/>
      <w:sz w:val="22"/>
    </w:rPr>
  </w:style>
  <w:style w:styleId="Style_134" w:type="paragraph">
    <w:name w:val="index 8"/>
    <w:basedOn w:val="Style_3"/>
    <w:next w:val="Style_3"/>
    <w:link w:val="Style_134_ch"/>
    <w:pPr>
      <w:ind w:hanging="240" w:left="1920"/>
    </w:pPr>
  </w:style>
  <w:style w:styleId="Style_134_ch" w:type="character">
    <w:name w:val="index 8"/>
    <w:basedOn w:val="Style_3_ch"/>
    <w:link w:val="Style_134"/>
  </w:style>
  <w:style w:styleId="Style_135" w:type="paragraph">
    <w:name w:val="bawpvc-ajax-counter"/>
    <w:basedOn w:val="Style_3"/>
    <w:link w:val="Style_135_ch"/>
    <w:pPr>
      <w:spacing w:afterAutospacing="on" w:beforeAutospacing="on"/>
      <w:ind/>
    </w:pPr>
  </w:style>
  <w:style w:styleId="Style_135_ch" w:type="character">
    <w:name w:val="bawpvc-ajax-counter"/>
    <w:basedOn w:val="Style_3_ch"/>
    <w:link w:val="Style_135"/>
  </w:style>
  <w:style w:styleId="Style_136" w:type="paragraph">
    <w:name w:val="Основной текст2"/>
    <w:basedOn w:val="Style_3"/>
    <w:link w:val="Style_136_ch"/>
    <w:pPr>
      <w:spacing w:after="60" w:before="360" w:line="274" w:lineRule="exact"/>
      <w:ind/>
      <w:jc w:val="both"/>
    </w:pPr>
    <w:rPr>
      <w:sz w:val="20"/>
    </w:rPr>
  </w:style>
  <w:style w:styleId="Style_136_ch" w:type="character">
    <w:name w:val="Основной текст2"/>
    <w:basedOn w:val="Style_3_ch"/>
    <w:link w:val="Style_136"/>
    <w:rPr>
      <w:sz w:val="20"/>
    </w:rPr>
  </w:style>
  <w:style w:styleId="Style_137" w:type="paragraph">
    <w:name w:val="font5"/>
    <w:basedOn w:val="Style_3"/>
    <w:link w:val="Style_137_ch"/>
    <w:pPr>
      <w:spacing w:afterAutospacing="on" w:beforeAutospacing="on"/>
      <w:ind/>
    </w:pPr>
    <w:rPr>
      <w:color w:val="000000"/>
    </w:rPr>
  </w:style>
  <w:style w:styleId="Style_137_ch" w:type="character">
    <w:name w:val="font5"/>
    <w:basedOn w:val="Style_3_ch"/>
    <w:link w:val="Style_137"/>
    <w:rPr>
      <w:color w:val="000000"/>
    </w:rPr>
  </w:style>
  <w:style w:styleId="Style_138" w:type="paragraph">
    <w:name w:val="Body Text Indent"/>
    <w:basedOn w:val="Style_3"/>
    <w:link w:val="Style_138_ch"/>
    <w:pPr>
      <w:spacing w:line="360" w:lineRule="auto"/>
      <w:ind w:firstLine="708" w:left="0"/>
      <w:jc w:val="both"/>
    </w:pPr>
  </w:style>
  <w:style w:styleId="Style_138_ch" w:type="character">
    <w:name w:val="Body Text Indent"/>
    <w:basedOn w:val="Style_3_ch"/>
    <w:link w:val="Style_138"/>
  </w:style>
  <w:style w:styleId="Style_139" w:type="paragraph">
    <w:name w:val="S_Заголовок 1"/>
    <w:basedOn w:val="Style_3"/>
    <w:link w:val="Style_139_ch"/>
    <w:pPr>
      <w:pageBreakBefore w:val="1"/>
      <w:spacing w:line="360" w:lineRule="auto"/>
      <w:ind/>
      <w:jc w:val="center"/>
    </w:pPr>
    <w:rPr>
      <w:b w:val="1"/>
      <w:caps w:val="1"/>
    </w:rPr>
  </w:style>
  <w:style w:styleId="Style_139_ch" w:type="character">
    <w:name w:val="S_Заголовок 1"/>
    <w:basedOn w:val="Style_3_ch"/>
    <w:link w:val="Style_139"/>
    <w:rPr>
      <w:b w:val="1"/>
      <w:caps w:val="1"/>
    </w:rPr>
  </w:style>
  <w:style w:styleId="Style_140" w:type="paragraph">
    <w:name w:val="HTML Variable"/>
    <w:link w:val="Style_140_ch"/>
    <w:rPr>
      <w:i w:val="1"/>
    </w:rPr>
  </w:style>
  <w:style w:styleId="Style_140_ch" w:type="character">
    <w:name w:val="HTML Variable"/>
    <w:link w:val="Style_140"/>
    <w:rPr>
      <w:i w:val="1"/>
    </w:rPr>
  </w:style>
  <w:style w:styleId="Style_141" w:type="paragraph">
    <w:name w:val="List Number 2"/>
    <w:basedOn w:val="Style_46"/>
    <w:link w:val="Style_141_ch"/>
    <w:pPr>
      <w:spacing w:after="240" w:before="0" w:line="240" w:lineRule="atLeast"/>
      <w:ind w:hanging="360" w:left="1800"/>
    </w:pPr>
    <w:rPr>
      <w:rFonts w:ascii="Arial" w:hAnsi="Arial"/>
      <w:spacing w:val="-5"/>
      <w:sz w:val="20"/>
    </w:rPr>
  </w:style>
  <w:style w:styleId="Style_141_ch" w:type="character">
    <w:name w:val="List Number 2"/>
    <w:basedOn w:val="Style_46_ch"/>
    <w:link w:val="Style_141"/>
    <w:rPr>
      <w:rFonts w:ascii="Arial" w:hAnsi="Arial"/>
      <w:spacing w:val="-5"/>
      <w:sz w:val="20"/>
    </w:rPr>
  </w:style>
  <w:style w:styleId="Style_142" w:type="paragraph">
    <w:name w:val="Основной текст 2 Знак1"/>
    <w:link w:val="Style_142_ch"/>
    <w:rPr>
      <w:sz w:val="24"/>
    </w:rPr>
  </w:style>
  <w:style w:styleId="Style_142_ch" w:type="character">
    <w:name w:val="Основной текст 2 Знак1"/>
    <w:link w:val="Style_142"/>
    <w:rPr>
      <w:sz w:val="24"/>
    </w:rPr>
  </w:style>
  <w:style w:styleId="Style_143" w:type="paragraph">
    <w:name w:val="toa heading"/>
    <w:basedOn w:val="Style_3"/>
    <w:next w:val="Style_3"/>
    <w:link w:val="Style_143_ch"/>
    <w:pPr>
      <w:spacing w:after="20" w:before="40"/>
      <w:ind/>
      <w:jc w:val="center"/>
    </w:pPr>
    <w:rPr>
      <w:b w:val="1"/>
      <w:sz w:val="22"/>
    </w:rPr>
  </w:style>
  <w:style w:styleId="Style_143_ch" w:type="character">
    <w:name w:val="toa heading"/>
    <w:basedOn w:val="Style_3_ch"/>
    <w:link w:val="Style_143"/>
    <w:rPr>
      <w:b w:val="1"/>
      <w:sz w:val="22"/>
    </w:rPr>
  </w:style>
  <w:style w:styleId="Style_144" w:type="paragraph">
    <w:name w:val="submenu-table"/>
    <w:link w:val="Style_144_ch"/>
  </w:style>
  <w:style w:styleId="Style_144_ch" w:type="character">
    <w:name w:val="submenu-table"/>
    <w:link w:val="Style_144"/>
  </w:style>
  <w:style w:styleId="Style_145" w:type="paragraph">
    <w:name w:val="ConsNonformat"/>
    <w:link w:val="Style_145_ch"/>
    <w:pPr>
      <w:widowControl w:val="0"/>
      <w:ind/>
    </w:pPr>
    <w:rPr>
      <w:rFonts w:ascii="Courier New" w:hAnsi="Courier New"/>
    </w:rPr>
  </w:style>
  <w:style w:styleId="Style_145_ch" w:type="character">
    <w:name w:val="ConsNonformat"/>
    <w:link w:val="Style_145"/>
    <w:rPr>
      <w:rFonts w:ascii="Courier New" w:hAnsi="Courier New"/>
    </w:rPr>
  </w:style>
  <w:style w:styleId="Style_146" w:type="paragraph">
    <w:name w:val="Список а)"/>
    <w:basedOn w:val="Style_9"/>
    <w:link w:val="Style_146_ch"/>
    <w:pPr>
      <w:numPr>
        <w:numId w:val="11"/>
      </w:numPr>
    </w:pPr>
  </w:style>
  <w:style w:styleId="Style_146_ch" w:type="character">
    <w:name w:val="Список а)"/>
    <w:basedOn w:val="Style_9_ch"/>
    <w:link w:val="Style_146"/>
  </w:style>
  <w:style w:styleId="Style_147" w:type="paragraph">
    <w:name w:val="Раздел МНГП"/>
    <w:basedOn w:val="Style_6"/>
    <w:link w:val="Style_147_ch"/>
    <w:pPr>
      <w:keepLines w:val="1"/>
      <w:tabs>
        <w:tab w:leader="none" w:pos="426" w:val="center"/>
        <w:tab w:leader="none" w:pos="851" w:val="clear"/>
      </w:tabs>
      <w:spacing w:after="0" w:before="480"/>
      <w:ind/>
    </w:pPr>
    <w:rPr>
      <w:caps w:val="0"/>
      <w:sz w:val="24"/>
    </w:rPr>
  </w:style>
  <w:style w:styleId="Style_147_ch" w:type="character">
    <w:name w:val="Раздел МНГП"/>
    <w:basedOn w:val="Style_6_ch"/>
    <w:link w:val="Style_147"/>
    <w:rPr>
      <w:caps w:val="0"/>
      <w:sz w:val="24"/>
    </w:rPr>
  </w:style>
  <w:style w:styleId="Style_148" w:type="paragraph">
    <w:name w:val="Табличный_по ширине_10"/>
    <w:basedOn w:val="Style_3"/>
    <w:link w:val="Style_148_ch"/>
    <w:pPr>
      <w:ind/>
      <w:jc w:val="both"/>
    </w:pPr>
    <w:rPr>
      <w:sz w:val="20"/>
    </w:rPr>
  </w:style>
  <w:style w:styleId="Style_148_ch" w:type="character">
    <w:name w:val="Табличный_по ширине_10"/>
    <w:basedOn w:val="Style_3_ch"/>
    <w:link w:val="Style_148"/>
    <w:rPr>
      <w:sz w:val="20"/>
    </w:rPr>
  </w:style>
  <w:style w:styleId="Style_149" w:type="paragraph">
    <w:name w:val="ГРАД Список маркированный"/>
    <w:basedOn w:val="Style_38"/>
    <w:link w:val="Style_149_ch"/>
    <w:pPr>
      <w:tabs>
        <w:tab w:leader="none" w:pos="900" w:val="left"/>
        <w:tab w:leader="none" w:pos="1135" w:val="left"/>
      </w:tabs>
      <w:spacing w:line="240" w:lineRule="auto"/>
      <w:ind w:firstLine="709" w:left="0"/>
      <w:contextualSpacing w:val="0"/>
    </w:pPr>
    <w:rPr>
      <w:spacing w:val="-1"/>
    </w:rPr>
  </w:style>
  <w:style w:styleId="Style_149_ch" w:type="character">
    <w:name w:val="ГРАД Список маркированный"/>
    <w:basedOn w:val="Style_38_ch"/>
    <w:link w:val="Style_149"/>
    <w:rPr>
      <w:spacing w:val="-1"/>
    </w:rPr>
  </w:style>
  <w:style w:styleId="Style_15" w:type="paragraph">
    <w:name w:val="heading 5"/>
    <w:basedOn w:val="Style_3"/>
    <w:next w:val="Style_3"/>
    <w:link w:val="Style_15_ch"/>
    <w:uiPriority w:val="9"/>
    <w:qFormat/>
    <w:pPr>
      <w:tabs>
        <w:tab w:leader="none" w:pos="1701" w:val="left"/>
      </w:tabs>
      <w:spacing w:after="60" w:before="240"/>
      <w:ind/>
      <w:outlineLvl w:val="4"/>
    </w:pPr>
    <w:rPr>
      <w:b w:val="1"/>
      <w:sz w:val="22"/>
    </w:rPr>
  </w:style>
  <w:style w:styleId="Style_15_ch" w:type="character">
    <w:name w:val="heading 5"/>
    <w:basedOn w:val="Style_3_ch"/>
    <w:link w:val="Style_15"/>
    <w:rPr>
      <w:b w:val="1"/>
      <w:sz w:val="22"/>
    </w:rPr>
  </w:style>
  <w:style w:styleId="Style_2" w:type="paragraph">
    <w:name w:val="footer"/>
    <w:basedOn w:val="Style_3"/>
    <w:link w:val="Style_2_ch"/>
    <w:pPr>
      <w:tabs>
        <w:tab w:leader="none" w:pos="4677" w:val="center"/>
        <w:tab w:leader="none" w:pos="9355" w:val="right"/>
      </w:tabs>
      <w:ind w:firstLine="680" w:left="0"/>
      <w:jc w:val="both"/>
    </w:pPr>
  </w:style>
  <w:style w:styleId="Style_2_ch" w:type="character">
    <w:name w:val="footer"/>
    <w:basedOn w:val="Style_3_ch"/>
    <w:link w:val="Style_2"/>
  </w:style>
  <w:style w:styleId="Style_150" w:type="paragraph">
    <w:name w:val="Message Header"/>
    <w:basedOn w:val="Style_151"/>
    <w:link w:val="Style_150_ch"/>
    <w:pPr>
      <w:keepLines w:val="1"/>
      <w:tabs>
        <w:tab w:leader="none" w:pos="3600" w:val="left"/>
        <w:tab w:leader="none" w:pos="4680" w:val="left"/>
      </w:tabs>
      <w:spacing w:line="280" w:lineRule="exact"/>
      <w:ind w:hanging="1080" w:left="1080" w:right="2160"/>
    </w:pPr>
    <w:rPr>
      <w:rFonts w:ascii="Arial" w:hAnsi="Arial"/>
      <w:sz w:val="22"/>
    </w:rPr>
  </w:style>
  <w:style w:styleId="Style_150_ch" w:type="character">
    <w:name w:val="Message Header"/>
    <w:basedOn w:val="Style_151_ch"/>
    <w:link w:val="Style_150"/>
    <w:rPr>
      <w:rFonts w:ascii="Arial" w:hAnsi="Arial"/>
      <w:sz w:val="22"/>
    </w:rPr>
  </w:style>
  <w:style w:styleId="Style_152" w:type="paragraph">
    <w:name w:val="Заголовок_12"/>
    <w:link w:val="Style_152_ch"/>
    <w:rPr>
      <w:b w:val="1"/>
    </w:rPr>
  </w:style>
  <w:style w:styleId="Style_152_ch" w:type="character">
    <w:name w:val="Заголовок_12"/>
    <w:link w:val="Style_152"/>
    <w:rPr>
      <w:b w:val="1"/>
    </w:rPr>
  </w:style>
  <w:style w:styleId="Style_153" w:type="paragraph">
    <w:name w:val="Footer Odd"/>
    <w:basedOn w:val="Style_3"/>
    <w:link w:val="Style_153_ch"/>
    <w:pPr>
      <w:spacing w:after="180" w:line="264" w:lineRule="auto"/>
      <w:ind/>
      <w:jc w:val="right"/>
    </w:pPr>
    <w:rPr>
      <w:rFonts w:ascii="Calibri" w:hAnsi="Calibri"/>
      <w:color w:val="1F497D"/>
      <w:sz w:val="20"/>
    </w:rPr>
  </w:style>
  <w:style w:styleId="Style_153_ch" w:type="character">
    <w:name w:val="Footer Odd"/>
    <w:basedOn w:val="Style_3_ch"/>
    <w:link w:val="Style_153"/>
    <w:rPr>
      <w:rFonts w:ascii="Calibri" w:hAnsi="Calibri"/>
      <w:color w:val="1F497D"/>
      <w:sz w:val="20"/>
    </w:rPr>
  </w:style>
  <w:style w:styleId="Style_154" w:type="paragraph">
    <w:name w:val="searchword"/>
    <w:link w:val="Style_154_ch"/>
  </w:style>
  <w:style w:styleId="Style_154_ch" w:type="character">
    <w:name w:val="searchword"/>
    <w:link w:val="Style_154"/>
  </w:style>
  <w:style w:styleId="Style_155" w:type="paragraph">
    <w:name w:val="ConsPlusDocList"/>
    <w:link w:val="Style_155_ch"/>
    <w:pPr>
      <w:widowControl w:val="0"/>
      <w:ind/>
    </w:pPr>
    <w:rPr>
      <w:rFonts w:ascii="Calibri" w:hAnsi="Calibri"/>
      <w:sz w:val="22"/>
    </w:rPr>
  </w:style>
  <w:style w:styleId="Style_155_ch" w:type="character">
    <w:name w:val="ConsPlusDocList"/>
    <w:link w:val="Style_155"/>
    <w:rPr>
      <w:rFonts w:ascii="Calibri" w:hAnsi="Calibri"/>
      <w:sz w:val="22"/>
    </w:rPr>
  </w:style>
  <w:style w:styleId="Style_156" w:type="paragraph">
    <w:name w:val="Название объекта омск"/>
    <w:basedOn w:val="Style_3"/>
    <w:link w:val="Style_156_ch"/>
    <w:rPr>
      <w:b w:val="1"/>
      <w:sz w:val="22"/>
    </w:rPr>
  </w:style>
  <w:style w:styleId="Style_156_ch" w:type="character">
    <w:name w:val="Название объекта омск"/>
    <w:basedOn w:val="Style_3_ch"/>
    <w:link w:val="Style_156"/>
    <w:rPr>
      <w:b w:val="1"/>
      <w:sz w:val="22"/>
    </w:rPr>
  </w:style>
  <w:style w:styleId="Style_157" w:type="paragraph">
    <w:name w:val="index 6"/>
    <w:basedOn w:val="Style_3"/>
    <w:next w:val="Style_3"/>
    <w:link w:val="Style_157_ch"/>
    <w:pPr>
      <w:ind w:hanging="240" w:left="1440"/>
    </w:pPr>
  </w:style>
  <w:style w:styleId="Style_157_ch" w:type="character">
    <w:name w:val="index 6"/>
    <w:basedOn w:val="Style_3_ch"/>
    <w:link w:val="Style_157"/>
  </w:style>
  <w:style w:styleId="Style_6" w:type="paragraph">
    <w:name w:val="heading 1"/>
    <w:basedOn w:val="Style_3"/>
    <w:next w:val="Style_8"/>
    <w:link w:val="Style_6_ch"/>
    <w:uiPriority w:val="9"/>
    <w:qFormat/>
    <w:pPr>
      <w:keepNext w:val="1"/>
      <w:pageBreakBefore w:val="1"/>
      <w:tabs>
        <w:tab w:leader="none" w:pos="851" w:val="left"/>
      </w:tabs>
      <w:spacing w:after="120" w:before="240"/>
      <w:ind/>
      <w:jc w:val="center"/>
      <w:outlineLvl w:val="0"/>
    </w:pPr>
    <w:rPr>
      <w:b w:val="1"/>
      <w:caps w:val="1"/>
      <w:sz w:val="28"/>
    </w:rPr>
  </w:style>
  <w:style w:styleId="Style_6_ch" w:type="character">
    <w:name w:val="heading 1"/>
    <w:basedOn w:val="Style_3_ch"/>
    <w:link w:val="Style_6"/>
    <w:rPr>
      <w:b w:val="1"/>
      <w:caps w:val="1"/>
      <w:sz w:val="28"/>
    </w:rPr>
  </w:style>
  <w:style w:styleId="Style_158" w:type="paragraph">
    <w:name w:val="xl77"/>
    <w:basedOn w:val="Style_3"/>
    <w:link w:val="Style_158_ch"/>
    <w:pPr>
      <w:spacing w:afterAutospacing="on" w:beforeAutospacing="on"/>
      <w:ind/>
      <w:jc w:val="center"/>
    </w:pPr>
    <w:rPr>
      <w:sz w:val="20"/>
    </w:rPr>
  </w:style>
  <w:style w:styleId="Style_158_ch" w:type="character">
    <w:name w:val="xl77"/>
    <w:basedOn w:val="Style_3_ch"/>
    <w:link w:val="Style_158"/>
    <w:rPr>
      <w:sz w:val="20"/>
    </w:rPr>
  </w:style>
  <w:style w:styleId="Style_159" w:type="paragraph">
    <w:name w:val="endnote text"/>
    <w:basedOn w:val="Style_3"/>
    <w:link w:val="Style_159_ch"/>
    <w:pPr>
      <w:spacing w:line="360" w:lineRule="auto"/>
      <w:ind w:firstLine="680" w:left="0"/>
      <w:jc w:val="both"/>
    </w:pPr>
    <w:rPr>
      <w:sz w:val="20"/>
    </w:rPr>
  </w:style>
  <w:style w:styleId="Style_159_ch" w:type="character">
    <w:name w:val="endnote text"/>
    <w:basedOn w:val="Style_3_ch"/>
    <w:link w:val="Style_159"/>
    <w:rPr>
      <w:sz w:val="20"/>
    </w:rPr>
  </w:style>
  <w:style w:styleId="Style_160" w:type="paragraph">
    <w:name w:val="Subtle Emphasis"/>
    <w:link w:val="Style_160_ch"/>
    <w:rPr>
      <w:i w:val="1"/>
      <w:color w:val="5A5A5A"/>
    </w:rPr>
  </w:style>
  <w:style w:styleId="Style_160_ch" w:type="character">
    <w:name w:val="Subtle Emphasis"/>
    <w:link w:val="Style_160"/>
    <w:rPr>
      <w:i w:val="1"/>
      <w:color w:val="5A5A5A"/>
    </w:rPr>
  </w:style>
  <w:style w:styleId="Style_161" w:type="paragraph">
    <w:name w:val="List 2"/>
    <w:basedOn w:val="Style_9"/>
    <w:link w:val="Style_161_ch"/>
    <w:pPr>
      <w:numPr>
        <w:ilvl w:val="0"/>
        <w:numId w:val="0"/>
      </w:numPr>
      <w:spacing w:after="240" w:line="240" w:lineRule="atLeast"/>
      <w:ind w:hanging="360" w:left="1800"/>
    </w:pPr>
    <w:rPr>
      <w:rFonts w:ascii="Arial" w:hAnsi="Arial"/>
      <w:spacing w:val="-5"/>
      <w:sz w:val="20"/>
    </w:rPr>
  </w:style>
  <w:style w:styleId="Style_161_ch" w:type="character">
    <w:name w:val="List 2"/>
    <w:basedOn w:val="Style_9_ch"/>
    <w:link w:val="Style_161"/>
    <w:rPr>
      <w:rFonts w:ascii="Arial" w:hAnsi="Arial"/>
      <w:spacing w:val="-5"/>
      <w:sz w:val="20"/>
    </w:rPr>
  </w:style>
  <w:style w:styleId="Style_162" w:type="paragraph">
    <w:name w:val="List 3"/>
    <w:basedOn w:val="Style_9"/>
    <w:link w:val="Style_162_ch"/>
    <w:pPr>
      <w:numPr>
        <w:ilvl w:val="0"/>
        <w:numId w:val="0"/>
      </w:numPr>
      <w:spacing w:after="240" w:line="240" w:lineRule="atLeast"/>
      <w:ind w:hanging="360" w:left="2160"/>
    </w:pPr>
    <w:rPr>
      <w:rFonts w:ascii="Arial" w:hAnsi="Arial"/>
      <w:spacing w:val="-5"/>
      <w:sz w:val="20"/>
    </w:rPr>
  </w:style>
  <w:style w:styleId="Style_162_ch" w:type="character">
    <w:name w:val="List 3"/>
    <w:basedOn w:val="Style_9_ch"/>
    <w:link w:val="Style_162"/>
    <w:rPr>
      <w:rFonts w:ascii="Arial" w:hAnsi="Arial"/>
      <w:spacing w:val="-5"/>
      <w:sz w:val="20"/>
    </w:rPr>
  </w:style>
  <w:style w:styleId="Style_163" w:type="paragraph">
    <w:name w:val="index 7"/>
    <w:basedOn w:val="Style_3"/>
    <w:next w:val="Style_3"/>
    <w:link w:val="Style_163_ch"/>
    <w:pPr>
      <w:ind w:hanging="240" w:left="1680"/>
    </w:pPr>
  </w:style>
  <w:style w:styleId="Style_163_ch" w:type="character">
    <w:name w:val="index 7"/>
    <w:basedOn w:val="Style_3_ch"/>
    <w:link w:val="Style_163"/>
  </w:style>
  <w:style w:styleId="Style_164" w:type="paragraph">
    <w:name w:val="xl84"/>
    <w:basedOn w:val="Style_3"/>
    <w:link w:val="Style_164_ch"/>
    <w:pPr>
      <w:spacing w:afterAutospacing="on" w:beforeAutospacing="on"/>
      <w:ind/>
    </w:pPr>
    <w:rPr>
      <w:i w:val="1"/>
      <w:color w:val="000000"/>
      <w:sz w:val="20"/>
    </w:rPr>
  </w:style>
  <w:style w:styleId="Style_164_ch" w:type="character">
    <w:name w:val="xl84"/>
    <w:basedOn w:val="Style_3_ch"/>
    <w:link w:val="Style_164"/>
    <w:rPr>
      <w:i w:val="1"/>
      <w:color w:val="000000"/>
      <w:sz w:val="20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165" w:type="paragraph">
    <w:name w:val="Footnote"/>
    <w:basedOn w:val="Style_3"/>
    <w:link w:val="Style_165_ch"/>
    <w:pPr>
      <w:spacing w:after="120" w:before="120" w:line="360" w:lineRule="auto"/>
      <w:ind/>
      <w:jc w:val="both"/>
    </w:pPr>
    <w:rPr>
      <w:rFonts w:ascii="Arial" w:hAnsi="Arial"/>
      <w:sz w:val="20"/>
    </w:rPr>
  </w:style>
  <w:style w:styleId="Style_165_ch" w:type="character">
    <w:name w:val="Footnote"/>
    <w:basedOn w:val="Style_3_ch"/>
    <w:link w:val="Style_165"/>
    <w:rPr>
      <w:rFonts w:ascii="Arial" w:hAnsi="Arial"/>
      <w:sz w:val="20"/>
    </w:rPr>
  </w:style>
  <w:style w:styleId="Style_166" w:type="paragraph">
    <w:name w:val="Body Text 2"/>
    <w:basedOn w:val="Style_3"/>
    <w:link w:val="Style_166_ch"/>
    <w:pPr>
      <w:spacing w:line="360" w:lineRule="auto"/>
      <w:ind w:firstLine="680" w:left="0"/>
      <w:jc w:val="center"/>
    </w:pPr>
    <w:rPr>
      <w:b w:val="1"/>
      <w:caps w:val="1"/>
    </w:rPr>
  </w:style>
  <w:style w:styleId="Style_166_ch" w:type="character">
    <w:name w:val="Body Text 2"/>
    <w:basedOn w:val="Style_3_ch"/>
    <w:link w:val="Style_166"/>
    <w:rPr>
      <w:b w:val="1"/>
      <w:caps w:val="1"/>
    </w:rPr>
  </w:style>
  <w:style w:styleId="Style_167" w:type="paragraph">
    <w:name w:val="heading 8"/>
    <w:basedOn w:val="Style_3"/>
    <w:next w:val="Style_3"/>
    <w:link w:val="Style_167_ch"/>
    <w:uiPriority w:val="9"/>
    <w:qFormat/>
    <w:pPr>
      <w:numPr>
        <w:ilvl w:val="7"/>
        <w:numId w:val="6"/>
      </w:numPr>
      <w:spacing w:after="60" w:before="240"/>
      <w:ind/>
      <w:outlineLvl w:val="7"/>
    </w:pPr>
    <w:rPr>
      <w:i w:val="1"/>
    </w:rPr>
  </w:style>
  <w:style w:styleId="Style_167_ch" w:type="character">
    <w:name w:val="heading 8"/>
    <w:basedOn w:val="Style_3_ch"/>
    <w:link w:val="Style_167"/>
    <w:rPr>
      <w:i w:val="1"/>
    </w:rPr>
  </w:style>
  <w:style w:styleId="Style_168" w:type="paragraph">
    <w:name w:val="Заголовок оглавления1"/>
    <w:basedOn w:val="Style_6"/>
    <w:next w:val="Style_3"/>
    <w:link w:val="Style_168_ch"/>
    <w:pPr>
      <w:keepLines w:val="1"/>
      <w:pageBreakBefore w:val="0"/>
      <w:tabs>
        <w:tab w:leader="none" w:pos="851" w:val="clear"/>
        <w:tab w:leader="none" w:pos="935" w:val="left"/>
      </w:tabs>
      <w:spacing w:after="0" w:before="480"/>
      <w:ind w:firstLine="0" w:left="935"/>
      <w:jc w:val="left"/>
      <w:outlineLvl w:val="8"/>
    </w:pPr>
    <w:rPr>
      <w:rFonts w:ascii="Cambria" w:hAnsi="Cambria"/>
      <w:caps w:val="0"/>
      <w:color w:val="365F91"/>
    </w:rPr>
  </w:style>
  <w:style w:styleId="Style_168_ch" w:type="character">
    <w:name w:val="Заголовок оглавления1"/>
    <w:basedOn w:val="Style_6_ch"/>
    <w:link w:val="Style_168"/>
    <w:rPr>
      <w:rFonts w:ascii="Cambria" w:hAnsi="Cambria"/>
      <w:caps w:val="0"/>
      <w:color w:val="365F91"/>
    </w:rPr>
  </w:style>
  <w:style w:styleId="Style_169" w:type="paragraph">
    <w:name w:val="xl80"/>
    <w:basedOn w:val="Style_3"/>
    <w:link w:val="Style_169_ch"/>
    <w:pPr>
      <w:spacing w:afterAutospacing="on" w:beforeAutospacing="on"/>
      <w:ind/>
      <w:jc w:val="center"/>
    </w:pPr>
    <w:rPr>
      <w:sz w:val="20"/>
    </w:rPr>
  </w:style>
  <w:style w:styleId="Style_169_ch" w:type="character">
    <w:name w:val="xl80"/>
    <w:basedOn w:val="Style_3_ch"/>
    <w:link w:val="Style_169"/>
    <w:rPr>
      <w:sz w:val="20"/>
    </w:rPr>
  </w:style>
  <w:style w:styleId="Style_4" w:type="paragraph">
    <w:name w:val="toc 1"/>
    <w:basedOn w:val="Style_3"/>
    <w:next w:val="Style_3"/>
    <w:link w:val="Style_4_ch"/>
    <w:uiPriority w:val="39"/>
    <w:pPr>
      <w:spacing w:after="120" w:before="120"/>
      <w:ind/>
    </w:pPr>
    <w:rPr>
      <w:b w:val="1"/>
      <w:caps w:val="1"/>
      <w:sz w:val="20"/>
    </w:rPr>
  </w:style>
  <w:style w:styleId="Style_4_ch" w:type="character">
    <w:name w:val="toc 1"/>
    <w:basedOn w:val="Style_3_ch"/>
    <w:link w:val="Style_4"/>
    <w:rPr>
      <w:b w:val="1"/>
      <w:caps w:val="1"/>
      <w:sz w:val="20"/>
    </w:rPr>
  </w:style>
  <w:style w:styleId="Style_170" w:type="paragraph">
    <w:name w:val="Intense Quote"/>
    <w:basedOn w:val="Style_3"/>
    <w:next w:val="Style_3"/>
    <w:link w:val="Style_170_ch"/>
    <w:pPr>
      <w:spacing w:after="320" w:before="320" w:line="300" w:lineRule="auto"/>
      <w:ind w:firstLine="680" w:left="1440" w:right="1440"/>
      <w:jc w:val="both"/>
    </w:pPr>
    <w:rPr>
      <w:rFonts w:ascii="Cambria" w:hAnsi="Cambria"/>
      <w:i w:val="1"/>
      <w:color w:val="F4F4F4"/>
    </w:rPr>
  </w:style>
  <w:style w:styleId="Style_170_ch" w:type="character">
    <w:name w:val="Intense Quote"/>
    <w:basedOn w:val="Style_3_ch"/>
    <w:link w:val="Style_170"/>
    <w:rPr>
      <w:rFonts w:ascii="Cambria" w:hAnsi="Cambria"/>
      <w:i w:val="1"/>
      <w:color w:val="F4F4F4"/>
    </w:rPr>
  </w:style>
  <w:style w:styleId="Style_171" w:type="paragraph">
    <w:name w:val="Header and Footer"/>
    <w:link w:val="Style_171_ch"/>
    <w:pPr>
      <w:spacing w:line="240" w:lineRule="auto"/>
      <w:ind/>
      <w:jc w:val="both"/>
    </w:pPr>
    <w:rPr>
      <w:rFonts w:ascii="XO Thames" w:hAnsi="XO Thames"/>
      <w:sz w:val="20"/>
    </w:rPr>
  </w:style>
  <w:style w:styleId="Style_171_ch" w:type="character">
    <w:name w:val="Header and Footer"/>
    <w:link w:val="Style_171"/>
    <w:rPr>
      <w:rFonts w:ascii="XO Thames" w:hAnsi="XO Thames"/>
      <w:sz w:val="20"/>
    </w:rPr>
  </w:style>
  <w:style w:styleId="Style_172" w:type="paragraph">
    <w:name w:val="Intense Emphasis"/>
    <w:link w:val="Style_172_ch"/>
    <w:rPr>
      <w:b w:val="1"/>
      <w:i w:val="1"/>
      <w:color w:val="4F81BD"/>
      <w:sz w:val="22"/>
    </w:rPr>
  </w:style>
  <w:style w:styleId="Style_172_ch" w:type="character">
    <w:name w:val="Intense Emphasis"/>
    <w:link w:val="Style_172"/>
    <w:rPr>
      <w:b w:val="1"/>
      <w:i w:val="1"/>
      <w:color w:val="4F81BD"/>
      <w:sz w:val="22"/>
    </w:rPr>
  </w:style>
  <w:style w:styleId="Style_173" w:type="paragraph">
    <w:name w:val="Обычный влево"/>
    <w:basedOn w:val="Style_44"/>
    <w:link w:val="Style_173_ch"/>
    <w:pPr>
      <w:tabs>
        <w:tab w:leader="none" w:pos="360" w:val="clear"/>
      </w:tabs>
      <w:spacing w:before="0"/>
      <w:ind w:firstLine="0" w:left="0"/>
      <w:jc w:val="left"/>
    </w:pPr>
  </w:style>
  <w:style w:styleId="Style_173_ch" w:type="character">
    <w:name w:val="Обычный влево"/>
    <w:basedOn w:val="Style_44_ch"/>
    <w:link w:val="Style_173"/>
  </w:style>
  <w:style w:styleId="Style_174" w:type="paragraph">
    <w:name w:val="Intense Reference"/>
    <w:link w:val="Style_174_ch"/>
    <w:rPr>
      <w:b w:val="1"/>
      <w:color w:val="76923C"/>
      <w:u w:color="9BBB59" w:val="single"/>
    </w:rPr>
  </w:style>
  <w:style w:styleId="Style_174_ch" w:type="character">
    <w:name w:val="Intense Reference"/>
    <w:link w:val="Style_174"/>
    <w:rPr>
      <w:b w:val="1"/>
      <w:color w:val="76923C"/>
      <w:u w:color="9BBB59" w:val="single"/>
    </w:rPr>
  </w:style>
  <w:style w:styleId="Style_175" w:type="paragraph">
    <w:name w:val="Îáû÷íûé"/>
    <w:link w:val="Style_175_ch"/>
    <w:rPr>
      <w:sz w:val="28"/>
    </w:rPr>
  </w:style>
  <w:style w:styleId="Style_175_ch" w:type="character">
    <w:name w:val="Îáû÷íûé"/>
    <w:link w:val="Style_175"/>
    <w:rPr>
      <w:sz w:val="28"/>
    </w:rPr>
  </w:style>
  <w:style w:styleId="Style_151" w:type="paragraph">
    <w:name w:val="Body Text"/>
    <w:basedOn w:val="Style_3"/>
    <w:link w:val="Style_151_ch"/>
    <w:pPr>
      <w:spacing w:after="120" w:line="360" w:lineRule="auto"/>
      <w:ind w:firstLine="709" w:left="0"/>
      <w:jc w:val="both"/>
    </w:pPr>
  </w:style>
  <w:style w:styleId="Style_151_ch" w:type="character">
    <w:name w:val="Body Text"/>
    <w:basedOn w:val="Style_3_ch"/>
    <w:link w:val="Style_151"/>
  </w:style>
  <w:style w:styleId="Style_176" w:type="paragraph">
    <w:name w:val="Block Text"/>
    <w:basedOn w:val="Style_3"/>
    <w:link w:val="Style_176_ch"/>
    <w:pPr>
      <w:spacing w:line="360" w:lineRule="auto"/>
      <w:ind w:firstLine="709" w:left="526" w:right="43"/>
      <w:jc w:val="both"/>
    </w:pPr>
    <w:rPr>
      <w:sz w:val="28"/>
    </w:rPr>
  </w:style>
  <w:style w:styleId="Style_176_ch" w:type="character">
    <w:name w:val="Block Text"/>
    <w:basedOn w:val="Style_3_ch"/>
    <w:link w:val="Style_176"/>
    <w:rPr>
      <w:sz w:val="28"/>
    </w:rPr>
  </w:style>
  <w:style w:styleId="Style_177" w:type="paragraph">
    <w:name w:val="Табличный_заголовки"/>
    <w:basedOn w:val="Style_3"/>
    <w:link w:val="Style_177_ch"/>
    <w:pPr>
      <w:keepNext w:val="1"/>
      <w:keepLines w:val="1"/>
      <w:ind/>
      <w:jc w:val="center"/>
    </w:pPr>
    <w:rPr>
      <w:b w:val="1"/>
      <w:sz w:val="20"/>
    </w:rPr>
  </w:style>
  <w:style w:styleId="Style_177_ch" w:type="character">
    <w:name w:val="Табличный_заголовки"/>
    <w:basedOn w:val="Style_3_ch"/>
    <w:link w:val="Style_177"/>
    <w:rPr>
      <w:b w:val="1"/>
      <w:sz w:val="20"/>
    </w:rPr>
  </w:style>
  <w:style w:styleId="Style_178" w:type="paragraph">
    <w:name w:val="Верхний колонтитул Знак1"/>
    <w:link w:val="Style_178_ch"/>
    <w:rPr>
      <w:sz w:val="24"/>
    </w:rPr>
  </w:style>
  <w:style w:styleId="Style_178_ch" w:type="character">
    <w:name w:val="Верхний колонтитул Знак1"/>
    <w:link w:val="Style_178"/>
    <w:rPr>
      <w:sz w:val="24"/>
    </w:rPr>
  </w:style>
  <w:style w:styleId="Style_179" w:type="paragraph">
    <w:name w:val="Список 1)"/>
    <w:basedOn w:val="Style_3"/>
    <w:link w:val="Style_179_ch"/>
    <w:pPr>
      <w:numPr>
        <w:numId w:val="12"/>
      </w:numPr>
      <w:spacing w:after="60"/>
      <w:ind/>
      <w:jc w:val="both"/>
    </w:pPr>
  </w:style>
  <w:style w:styleId="Style_179_ch" w:type="character">
    <w:name w:val="Список 1)"/>
    <w:basedOn w:val="Style_3_ch"/>
    <w:link w:val="Style_179"/>
  </w:style>
  <w:style w:styleId="Style_180" w:type="paragraph">
    <w:name w:val="S_Заголовок 3"/>
    <w:basedOn w:val="Style_69"/>
    <w:link w:val="Style_180_ch"/>
    <w:pPr>
      <w:keepNext w:val="0"/>
      <w:numPr>
        <w:ilvl w:val="0"/>
        <w:numId w:val="0"/>
      </w:numPr>
      <w:tabs>
        <w:tab w:leader="none" w:pos="1276" w:val="clear"/>
        <w:tab w:leader="none" w:pos="1430" w:val="left"/>
      </w:tabs>
      <w:spacing w:after="0" w:before="0" w:line="360" w:lineRule="auto"/>
      <w:ind w:hanging="720" w:left="1430"/>
    </w:pPr>
    <w:rPr>
      <w:b w:val="0"/>
      <w:sz w:val="24"/>
      <w:u w:val="single"/>
    </w:rPr>
  </w:style>
  <w:style w:styleId="Style_180_ch" w:type="character">
    <w:name w:val="S_Заголовок 3"/>
    <w:basedOn w:val="Style_69_ch"/>
    <w:link w:val="Style_180"/>
    <w:rPr>
      <w:b w:val="0"/>
      <w:sz w:val="24"/>
      <w:u w:val="single"/>
    </w:rPr>
  </w:style>
  <w:style w:styleId="Style_181" w:type="paragraph">
    <w:name w:val="xl63"/>
    <w:basedOn w:val="Style_3"/>
    <w:link w:val="Style_181_ch"/>
    <w:pPr>
      <w:spacing w:afterAutospacing="on" w:beforeAutospacing="on"/>
      <w:ind/>
    </w:pPr>
  </w:style>
  <w:style w:styleId="Style_181_ch" w:type="character">
    <w:name w:val="xl63"/>
    <w:basedOn w:val="Style_3_ch"/>
    <w:link w:val="Style_181"/>
  </w:style>
  <w:style w:styleId="Style_182" w:type="paragraph">
    <w:name w:val="Plain Text"/>
    <w:basedOn w:val="Style_3"/>
    <w:link w:val="Style_182_ch"/>
    <w:pPr>
      <w:spacing w:line="360" w:lineRule="auto"/>
      <w:ind w:firstLine="709" w:left="1080"/>
      <w:jc w:val="both"/>
    </w:pPr>
    <w:rPr>
      <w:rFonts w:ascii="Courier New" w:hAnsi="Courier New"/>
      <w:spacing w:val="-5"/>
      <w:sz w:val="20"/>
    </w:rPr>
  </w:style>
  <w:style w:styleId="Style_182_ch" w:type="character">
    <w:name w:val="Plain Text"/>
    <w:basedOn w:val="Style_3_ch"/>
    <w:link w:val="Style_182"/>
    <w:rPr>
      <w:rFonts w:ascii="Courier New" w:hAnsi="Courier New"/>
      <w:spacing w:val="-5"/>
      <w:sz w:val="20"/>
    </w:rPr>
  </w:style>
  <w:style w:styleId="Style_18" w:type="paragraph">
    <w:name w:val="ConsPlusNonformat"/>
    <w:link w:val="Style_18_ch"/>
    <w:pPr>
      <w:widowControl w:val="0"/>
      <w:ind/>
    </w:pPr>
    <w:rPr>
      <w:rFonts w:ascii="Courier New" w:hAnsi="Courier New"/>
    </w:rPr>
  </w:style>
  <w:style w:styleId="Style_18_ch" w:type="character">
    <w:name w:val="ConsPlusNonformat"/>
    <w:link w:val="Style_18"/>
    <w:rPr>
      <w:rFonts w:ascii="Courier New" w:hAnsi="Courier New"/>
    </w:rPr>
  </w:style>
  <w:style w:styleId="Style_183" w:type="paragraph">
    <w:name w:val="List Continue 2"/>
    <w:basedOn w:val="Style_54"/>
    <w:link w:val="Style_183_ch"/>
    <w:pPr>
      <w:ind w:firstLine="0" w:left="2160"/>
    </w:pPr>
  </w:style>
  <w:style w:styleId="Style_183_ch" w:type="character">
    <w:name w:val="List Continue 2"/>
    <w:basedOn w:val="Style_54_ch"/>
    <w:link w:val="Style_183"/>
  </w:style>
  <w:style w:styleId="Style_184" w:type="paragraph">
    <w:name w:val="toc 9"/>
    <w:basedOn w:val="Style_3"/>
    <w:next w:val="Style_3"/>
    <w:link w:val="Style_184_ch"/>
    <w:uiPriority w:val="39"/>
    <w:pPr>
      <w:ind w:firstLine="0" w:left="1920"/>
    </w:pPr>
    <w:rPr>
      <w:sz w:val="18"/>
    </w:rPr>
  </w:style>
  <w:style w:styleId="Style_184_ch" w:type="character">
    <w:name w:val="toc 9"/>
    <w:basedOn w:val="Style_3_ch"/>
    <w:link w:val="Style_184"/>
    <w:rPr>
      <w:sz w:val="18"/>
    </w:rPr>
  </w:style>
  <w:style w:styleId="Style_185" w:type="paragraph">
    <w:name w:val="Заголовок 1 Знак1"/>
    <w:link w:val="Style_185_ch"/>
    <w:rPr>
      <w:rFonts w:ascii="Cambria" w:hAnsi="Cambria"/>
      <w:b w:val="1"/>
      <w:color w:val="365F91"/>
      <w:sz w:val="28"/>
    </w:rPr>
  </w:style>
  <w:style w:styleId="Style_185_ch" w:type="character">
    <w:name w:val="Заголовок 1 Знак1"/>
    <w:link w:val="Style_185"/>
    <w:rPr>
      <w:rFonts w:ascii="Cambria" w:hAnsi="Cambria"/>
      <w:b w:val="1"/>
      <w:color w:val="365F91"/>
      <w:sz w:val="28"/>
    </w:rPr>
  </w:style>
  <w:style w:styleId="Style_186" w:type="paragraph">
    <w:name w:val="xl71"/>
    <w:basedOn w:val="Style_3"/>
    <w:link w:val="Style_186_ch"/>
    <w:pPr>
      <w:spacing w:afterAutospacing="on" w:beforeAutospacing="on"/>
      <w:ind/>
      <w:jc w:val="center"/>
    </w:pPr>
    <w:rPr>
      <w:sz w:val="20"/>
    </w:rPr>
  </w:style>
  <w:style w:styleId="Style_186_ch" w:type="character">
    <w:name w:val="xl71"/>
    <w:basedOn w:val="Style_3_ch"/>
    <w:link w:val="Style_186"/>
    <w:rPr>
      <w:sz w:val="20"/>
    </w:rPr>
  </w:style>
  <w:style w:styleId="Style_124" w:type="paragraph">
    <w:name w:val="Табличный_слева"/>
    <w:basedOn w:val="Style_3"/>
    <w:link w:val="Style_124_ch"/>
    <w:rPr>
      <w:sz w:val="22"/>
    </w:rPr>
  </w:style>
  <w:style w:styleId="Style_124_ch" w:type="character">
    <w:name w:val="Табличный_слева"/>
    <w:basedOn w:val="Style_3_ch"/>
    <w:link w:val="Style_124"/>
    <w:rPr>
      <w:sz w:val="22"/>
    </w:rPr>
  </w:style>
  <w:style w:styleId="Style_187" w:type="paragraph">
    <w:name w:val="xl86"/>
    <w:basedOn w:val="Style_3"/>
    <w:link w:val="Style_187_ch"/>
    <w:pPr>
      <w:spacing w:afterAutospacing="on" w:beforeAutospacing="on"/>
      <w:ind/>
    </w:pPr>
    <w:rPr>
      <w:sz w:val="16"/>
    </w:rPr>
  </w:style>
  <w:style w:styleId="Style_187_ch" w:type="character">
    <w:name w:val="xl86"/>
    <w:basedOn w:val="Style_3_ch"/>
    <w:link w:val="Style_187"/>
    <w:rPr>
      <w:sz w:val="16"/>
    </w:rPr>
  </w:style>
  <w:style w:styleId="Style_188" w:type="paragraph">
    <w:name w:val="List Number 5"/>
    <w:basedOn w:val="Style_46"/>
    <w:link w:val="Style_188_ch"/>
    <w:pPr>
      <w:spacing w:after="240" w:before="0" w:line="240" w:lineRule="atLeast"/>
      <w:ind w:hanging="360" w:left="2880"/>
    </w:pPr>
    <w:rPr>
      <w:rFonts w:ascii="Arial" w:hAnsi="Arial"/>
      <w:spacing w:val="-5"/>
      <w:sz w:val="20"/>
    </w:rPr>
  </w:style>
  <w:style w:styleId="Style_188_ch" w:type="character">
    <w:name w:val="List Number 5"/>
    <w:basedOn w:val="Style_46_ch"/>
    <w:link w:val="Style_188"/>
    <w:rPr>
      <w:rFonts w:ascii="Arial" w:hAnsi="Arial"/>
      <w:spacing w:val="-5"/>
      <w:sz w:val="20"/>
    </w:rPr>
  </w:style>
  <w:style w:styleId="Style_13" w:type="paragraph">
    <w:name w:val="annotation text"/>
    <w:basedOn w:val="Style_3"/>
    <w:link w:val="Style_13_ch"/>
    <w:rPr>
      <w:sz w:val="20"/>
    </w:rPr>
  </w:style>
  <w:style w:styleId="Style_13_ch" w:type="character">
    <w:name w:val="annotation text"/>
    <w:basedOn w:val="Style_3_ch"/>
    <w:link w:val="Style_13"/>
    <w:rPr>
      <w:sz w:val="20"/>
    </w:rPr>
  </w:style>
  <w:style w:styleId="Style_189" w:type="paragraph">
    <w:name w:val="заголовок"/>
    <w:basedOn w:val="Style_3"/>
    <w:link w:val="Style_189_ch"/>
    <w:pPr>
      <w:tabs>
        <w:tab w:leader="none" w:pos="708" w:val="left"/>
      </w:tabs>
      <w:spacing w:after="240" w:before="240"/>
      <w:ind w:firstLine="479" w:left="0"/>
      <w:jc w:val="both"/>
      <w:outlineLvl w:val="2"/>
    </w:pPr>
    <w:rPr>
      <w:rFonts w:ascii="Calibri Light" w:hAnsi="Calibri Light"/>
      <w:b w:val="1"/>
    </w:rPr>
  </w:style>
  <w:style w:styleId="Style_189_ch" w:type="character">
    <w:name w:val="заголовок"/>
    <w:basedOn w:val="Style_3_ch"/>
    <w:link w:val="Style_189"/>
    <w:rPr>
      <w:rFonts w:ascii="Calibri Light" w:hAnsi="Calibri Light"/>
      <w:b w:val="1"/>
    </w:rPr>
  </w:style>
  <w:style w:styleId="Style_190" w:type="paragraph">
    <w:name w:val="Body Text First Indent"/>
    <w:basedOn w:val="Style_151"/>
    <w:link w:val="Style_190_ch"/>
    <w:pPr>
      <w:ind w:firstLine="210" w:left="1080"/>
    </w:pPr>
    <w:rPr>
      <w:rFonts w:ascii="Arial" w:hAnsi="Arial"/>
      <w:spacing w:val="-5"/>
    </w:rPr>
  </w:style>
  <w:style w:styleId="Style_190_ch" w:type="character">
    <w:name w:val="Body Text First Indent"/>
    <w:basedOn w:val="Style_151_ch"/>
    <w:link w:val="Style_190"/>
    <w:rPr>
      <w:rFonts w:ascii="Arial" w:hAnsi="Arial"/>
      <w:spacing w:val="-5"/>
    </w:rPr>
  </w:style>
  <w:style w:styleId="Style_191" w:type="paragraph">
    <w:name w:val="Normal (Web)"/>
    <w:basedOn w:val="Style_3"/>
    <w:link w:val="Style_191_ch"/>
    <w:pPr>
      <w:tabs>
        <w:tab w:leader="none" w:pos="0" w:val="left"/>
      </w:tabs>
      <w:spacing w:afterAutospacing="on" w:beforeAutospacing="on"/>
      <w:ind/>
    </w:pPr>
    <w:rPr>
      <w:color w:val="000000"/>
    </w:rPr>
  </w:style>
  <w:style w:styleId="Style_191_ch" w:type="character">
    <w:name w:val="Normal (Web)"/>
    <w:basedOn w:val="Style_3_ch"/>
    <w:link w:val="Style_191"/>
    <w:rPr>
      <w:color w:val="000000"/>
    </w:rPr>
  </w:style>
  <w:style w:styleId="Style_192" w:type="paragraph">
    <w:name w:val="Табличный_боковик_11"/>
    <w:link w:val="Style_192_ch"/>
    <w:rPr>
      <w:sz w:val="22"/>
    </w:rPr>
  </w:style>
  <w:style w:styleId="Style_192_ch" w:type="character">
    <w:name w:val="Табличный_боковик_11"/>
    <w:link w:val="Style_192"/>
    <w:rPr>
      <w:sz w:val="22"/>
    </w:rPr>
  </w:style>
  <w:style w:styleId="Style_193" w:type="paragraph">
    <w:name w:val="Стиль2"/>
    <w:basedOn w:val="Style_3"/>
    <w:link w:val="Style_193_ch"/>
    <w:pPr>
      <w:numPr>
        <w:numId w:val="13"/>
      </w:numPr>
      <w:spacing w:after="120" w:before="120"/>
      <w:ind/>
      <w:jc w:val="both"/>
    </w:pPr>
  </w:style>
  <w:style w:styleId="Style_193_ch" w:type="character">
    <w:name w:val="Стиль2"/>
    <w:basedOn w:val="Style_3_ch"/>
    <w:link w:val="Style_193"/>
  </w:style>
  <w:style w:styleId="Style_194" w:type="paragraph">
    <w:name w:val="Название таблицы"/>
    <w:basedOn w:val="Style_10"/>
    <w:link w:val="Style_194_ch"/>
  </w:style>
  <w:style w:styleId="Style_194_ch" w:type="character">
    <w:name w:val="Название таблицы"/>
    <w:basedOn w:val="Style_10_ch"/>
    <w:link w:val="Style_194"/>
  </w:style>
  <w:style w:styleId="Style_195" w:type="paragraph">
    <w:name w:val="s22"/>
    <w:basedOn w:val="Style_40"/>
    <w:link w:val="Style_195_ch"/>
  </w:style>
  <w:style w:styleId="Style_195_ch" w:type="character">
    <w:name w:val="s22"/>
    <w:basedOn w:val="Style_40_ch"/>
    <w:link w:val="Style_195"/>
  </w:style>
  <w:style w:styleId="Style_196" w:type="paragraph">
    <w:name w:val="S_Обычный_Жирный"/>
    <w:basedOn w:val="Style_3"/>
    <w:link w:val="Style_196_ch"/>
    <w:pPr>
      <w:spacing w:line="360" w:lineRule="auto"/>
      <w:ind w:firstLine="1259" w:left="0"/>
      <w:jc w:val="both"/>
    </w:pPr>
  </w:style>
  <w:style w:styleId="Style_196_ch" w:type="character">
    <w:name w:val="S_Обычный_Жирный"/>
    <w:basedOn w:val="Style_3_ch"/>
    <w:link w:val="Style_196"/>
  </w:style>
  <w:style w:styleId="Style_197" w:type="paragraph">
    <w:name w:val="List Continue 5"/>
    <w:basedOn w:val="Style_54"/>
    <w:link w:val="Style_197_ch"/>
    <w:pPr>
      <w:ind w:firstLine="0" w:left="3240"/>
    </w:pPr>
  </w:style>
  <w:style w:styleId="Style_197_ch" w:type="character">
    <w:name w:val="List Continue 5"/>
    <w:basedOn w:val="Style_54_ch"/>
    <w:link w:val="Style_197"/>
  </w:style>
  <w:style w:styleId="Style_198" w:type="paragraph">
    <w:name w:val="S_Обычный Знак Знак Знак Знак"/>
    <w:basedOn w:val="Style_3"/>
    <w:link w:val="Style_198_ch"/>
    <w:pPr>
      <w:spacing w:line="360" w:lineRule="auto"/>
      <w:ind w:firstLine="709" w:left="0"/>
      <w:jc w:val="both"/>
    </w:pPr>
  </w:style>
  <w:style w:styleId="Style_198_ch" w:type="character">
    <w:name w:val="S_Обычный Знак Знак Знак Знак"/>
    <w:basedOn w:val="Style_3_ch"/>
    <w:link w:val="Style_198"/>
  </w:style>
  <w:style w:styleId="Style_199" w:type="paragraph">
    <w:name w:val="ConsPlusTitle"/>
    <w:link w:val="Style_199_ch"/>
    <w:pPr>
      <w:widowControl w:val="0"/>
      <w:ind/>
    </w:pPr>
    <w:rPr>
      <w:rFonts w:ascii="Arial" w:hAnsi="Arial"/>
      <w:b w:val="1"/>
    </w:rPr>
  </w:style>
  <w:style w:styleId="Style_199_ch" w:type="character">
    <w:name w:val="ConsPlusTitle"/>
    <w:link w:val="Style_199"/>
    <w:rPr>
      <w:rFonts w:ascii="Arial" w:hAnsi="Arial"/>
      <w:b w:val="1"/>
    </w:rPr>
  </w:style>
  <w:style w:styleId="Style_200" w:type="paragraph">
    <w:name w:val="toc 8"/>
    <w:basedOn w:val="Style_3"/>
    <w:next w:val="Style_3"/>
    <w:link w:val="Style_200_ch"/>
    <w:uiPriority w:val="39"/>
    <w:pPr>
      <w:ind w:firstLine="0" w:left="1680"/>
    </w:pPr>
    <w:rPr>
      <w:sz w:val="18"/>
    </w:rPr>
  </w:style>
  <w:style w:styleId="Style_200_ch" w:type="character">
    <w:name w:val="toc 8"/>
    <w:basedOn w:val="Style_3_ch"/>
    <w:link w:val="Style_200"/>
    <w:rPr>
      <w:sz w:val="18"/>
    </w:rPr>
  </w:style>
  <w:style w:styleId="Style_54" w:type="paragraph">
    <w:name w:val="List Continue"/>
    <w:basedOn w:val="Style_9"/>
    <w:link w:val="Style_54_ch"/>
    <w:pPr>
      <w:numPr>
        <w:ilvl w:val="0"/>
        <w:numId w:val="0"/>
      </w:numPr>
      <w:spacing w:after="240" w:line="240" w:lineRule="atLeast"/>
      <w:ind w:firstLine="0" w:left="1440"/>
    </w:pPr>
    <w:rPr>
      <w:rFonts w:ascii="Arial" w:hAnsi="Arial"/>
      <w:spacing w:val="-5"/>
      <w:sz w:val="20"/>
    </w:rPr>
  </w:style>
  <w:style w:styleId="Style_54_ch" w:type="character">
    <w:name w:val="List Continue"/>
    <w:basedOn w:val="Style_9_ch"/>
    <w:link w:val="Style_54"/>
    <w:rPr>
      <w:rFonts w:ascii="Arial" w:hAnsi="Arial"/>
      <w:spacing w:val="-5"/>
      <w:sz w:val="20"/>
    </w:rPr>
  </w:style>
  <w:style w:styleId="Style_201" w:type="paragraph">
    <w:name w:val="annotation subject"/>
    <w:basedOn w:val="Style_13"/>
    <w:next w:val="Style_13"/>
    <w:link w:val="Style_201_ch"/>
    <w:pPr>
      <w:ind w:firstLine="284" w:left="0"/>
      <w:jc w:val="both"/>
    </w:pPr>
    <w:rPr>
      <w:b w:val="1"/>
    </w:rPr>
  </w:style>
  <w:style w:styleId="Style_201_ch" w:type="character">
    <w:name w:val="annotation subject"/>
    <w:basedOn w:val="Style_13_ch"/>
    <w:link w:val="Style_201"/>
    <w:rPr>
      <w:b w:val="1"/>
    </w:rPr>
  </w:style>
  <w:style w:styleId="Style_202" w:type="paragraph">
    <w:name w:val="Основной текст (13)"/>
    <w:basedOn w:val="Style_3"/>
    <w:link w:val="Style_202_ch"/>
    <w:pPr>
      <w:spacing w:after="120" w:line="206" w:lineRule="exact"/>
      <w:ind w:hanging="260" w:left="260"/>
      <w:jc w:val="both"/>
    </w:pPr>
    <w:rPr>
      <w:sz w:val="17"/>
    </w:rPr>
  </w:style>
  <w:style w:styleId="Style_202_ch" w:type="character">
    <w:name w:val="Основной текст (13)"/>
    <w:basedOn w:val="Style_3_ch"/>
    <w:link w:val="Style_202"/>
    <w:rPr>
      <w:sz w:val="17"/>
    </w:rPr>
  </w:style>
  <w:style w:styleId="Style_19" w:type="paragraph">
    <w:name w:val="S_Заголовок 2"/>
    <w:basedOn w:val="Style_7"/>
    <w:link w:val="Style_19_ch"/>
    <w:pPr>
      <w:keepNext w:val="0"/>
      <w:tabs>
        <w:tab w:leader="none" w:pos="360" w:val="left"/>
        <w:tab w:leader="none" w:pos="1134" w:val="clear"/>
        <w:tab w:leader="none" w:pos="1276" w:val="clear"/>
      </w:tabs>
      <w:spacing w:after="0" w:before="0" w:line="360" w:lineRule="auto"/>
      <w:ind w:hanging="360" w:left="360"/>
      <w:jc w:val="both"/>
    </w:pPr>
    <w:rPr>
      <w:sz w:val="24"/>
    </w:rPr>
  </w:style>
  <w:style w:styleId="Style_19_ch" w:type="character">
    <w:name w:val="S_Заголовок 2"/>
    <w:basedOn w:val="Style_7_ch"/>
    <w:link w:val="Style_19"/>
    <w:rPr>
      <w:sz w:val="24"/>
    </w:rPr>
  </w:style>
  <w:style w:styleId="Style_203" w:type="paragraph">
    <w:name w:val="index 2"/>
    <w:basedOn w:val="Style_3"/>
    <w:next w:val="Style_3"/>
    <w:link w:val="Style_203_ch"/>
    <w:pPr>
      <w:ind w:hanging="240" w:left="480"/>
    </w:pPr>
  </w:style>
  <w:style w:styleId="Style_203_ch" w:type="character">
    <w:name w:val="index 2"/>
    <w:basedOn w:val="Style_3_ch"/>
    <w:link w:val="Style_203"/>
  </w:style>
  <w:style w:styleId="Style_204" w:type="paragraph">
    <w:name w:val="_абзац"/>
    <w:basedOn w:val="Style_3"/>
    <w:link w:val="Style_204_ch"/>
    <w:pPr>
      <w:spacing w:line="276" w:lineRule="auto"/>
      <w:ind w:firstLine="709" w:left="0"/>
      <w:jc w:val="both"/>
    </w:pPr>
  </w:style>
  <w:style w:styleId="Style_204_ch" w:type="character">
    <w:name w:val="_абзац"/>
    <w:basedOn w:val="Style_3_ch"/>
    <w:link w:val="Style_204"/>
  </w:style>
  <w:style w:styleId="Style_205" w:type="paragraph">
    <w:name w:val="Основной текст продолжение"/>
    <w:basedOn w:val="Style_3"/>
    <w:next w:val="Style_151"/>
    <w:link w:val="Style_205_ch"/>
    <w:pPr>
      <w:spacing w:before="120"/>
      <w:ind w:firstLine="709" w:left="0"/>
      <w:jc w:val="both"/>
    </w:pPr>
  </w:style>
  <w:style w:styleId="Style_205_ch" w:type="character">
    <w:name w:val="Основной текст продолжение"/>
    <w:basedOn w:val="Style_3_ch"/>
    <w:link w:val="Style_205"/>
  </w:style>
  <w:style w:styleId="Style_206" w:type="paragraph">
    <w:name w:val="HTML Sample"/>
    <w:link w:val="Style_206_ch"/>
    <w:rPr>
      <w:rFonts w:ascii="Courier New" w:hAnsi="Courier New"/>
    </w:rPr>
  </w:style>
  <w:style w:styleId="Style_206_ch" w:type="character">
    <w:name w:val="HTML Sample"/>
    <w:link w:val="Style_206"/>
    <w:rPr>
      <w:rFonts w:ascii="Courier New" w:hAnsi="Courier New"/>
    </w:rPr>
  </w:style>
  <w:style w:styleId="Style_207" w:type="paragraph">
    <w:name w:val="S_рисунок"/>
    <w:basedOn w:val="Style_3"/>
    <w:link w:val="Style_207_ch"/>
    <w:pPr>
      <w:numPr>
        <w:numId w:val="14"/>
      </w:numPr>
      <w:tabs>
        <w:tab w:leader="none" w:pos="1069" w:val="left"/>
        <w:tab w:leader="none" w:pos="2149" w:val="clear"/>
      </w:tabs>
      <w:spacing w:line="360" w:lineRule="auto"/>
      <w:ind w:firstLine="0" w:left="1069"/>
      <w:jc w:val="right"/>
    </w:pPr>
  </w:style>
  <w:style w:styleId="Style_207_ch" w:type="character">
    <w:name w:val="S_рисунок"/>
    <w:basedOn w:val="Style_3_ch"/>
    <w:link w:val="Style_207"/>
  </w:style>
  <w:style w:styleId="Style_208" w:type="paragraph">
    <w:name w:val="fts-hit"/>
    <w:link w:val="Style_208_ch"/>
  </w:style>
  <w:style w:styleId="Style_208_ch" w:type="character">
    <w:name w:val="fts-hit"/>
    <w:link w:val="Style_208"/>
  </w:style>
  <w:style w:styleId="Style_209" w:type="paragraph">
    <w:name w:val="Табличный_нумерованный_10"/>
    <w:basedOn w:val="Style_3"/>
    <w:link w:val="Style_209_ch"/>
    <w:pPr>
      <w:numPr>
        <w:numId w:val="15"/>
      </w:numPr>
    </w:pPr>
    <w:rPr>
      <w:sz w:val="20"/>
    </w:rPr>
  </w:style>
  <w:style w:styleId="Style_209_ch" w:type="character">
    <w:name w:val="Табличный_нумерованный_10"/>
    <w:basedOn w:val="Style_3_ch"/>
    <w:link w:val="Style_209"/>
    <w:rPr>
      <w:sz w:val="20"/>
    </w:rPr>
  </w:style>
  <w:style w:styleId="Style_210" w:type="paragraph">
    <w:name w:val="S_Титульный 2"/>
    <w:basedOn w:val="Style_3"/>
    <w:link w:val="Style_210_ch"/>
    <w:pPr>
      <w:ind/>
      <w:jc w:val="center"/>
    </w:pPr>
  </w:style>
  <w:style w:styleId="Style_210_ch" w:type="character">
    <w:name w:val="S_Титульный 2"/>
    <w:basedOn w:val="Style_3_ch"/>
    <w:link w:val="Style_210"/>
  </w:style>
  <w:style w:styleId="Style_211" w:type="paragraph">
    <w:name w:val="Body Text First Indent 2"/>
    <w:basedOn w:val="Style_138"/>
    <w:link w:val="Style_211_ch"/>
    <w:pPr>
      <w:spacing w:after="120"/>
      <w:ind w:firstLine="210" w:left="283"/>
      <w:jc w:val="left"/>
    </w:pPr>
    <w:rPr>
      <w:rFonts w:ascii="Arial" w:hAnsi="Arial"/>
      <w:spacing w:val="-5"/>
    </w:rPr>
  </w:style>
  <w:style w:styleId="Style_211_ch" w:type="character">
    <w:name w:val="Body Text First Indent 2"/>
    <w:basedOn w:val="Style_138_ch"/>
    <w:link w:val="Style_211"/>
    <w:rPr>
      <w:rFonts w:ascii="Arial" w:hAnsi="Arial"/>
      <w:spacing w:val="-5"/>
    </w:rPr>
  </w:style>
  <w:style w:styleId="Style_212" w:type="paragraph">
    <w:name w:val="Bibliography"/>
    <w:basedOn w:val="Style_3"/>
    <w:next w:val="Style_3"/>
    <w:link w:val="Style_212_ch"/>
  </w:style>
  <w:style w:styleId="Style_212_ch" w:type="character">
    <w:name w:val="Bibliography"/>
    <w:basedOn w:val="Style_3_ch"/>
    <w:link w:val="Style_212"/>
  </w:style>
  <w:style w:styleId="Style_213" w:type="paragraph">
    <w:name w:val="xl79"/>
    <w:basedOn w:val="Style_3"/>
    <w:link w:val="Style_213_ch"/>
    <w:pPr>
      <w:spacing w:afterAutospacing="on" w:beforeAutospacing="on"/>
      <w:ind/>
      <w:jc w:val="center"/>
    </w:pPr>
    <w:rPr>
      <w:sz w:val="20"/>
    </w:rPr>
  </w:style>
  <w:style w:styleId="Style_213_ch" w:type="character">
    <w:name w:val="xl79"/>
    <w:basedOn w:val="Style_3_ch"/>
    <w:link w:val="Style_213"/>
    <w:rPr>
      <w:sz w:val="20"/>
    </w:rPr>
  </w:style>
  <w:style w:styleId="Style_214" w:type="paragraph">
    <w:name w:val="xl70"/>
    <w:basedOn w:val="Style_3"/>
    <w:link w:val="Style_214_ch"/>
    <w:pPr>
      <w:spacing w:afterAutospacing="on" w:beforeAutospacing="on"/>
      <w:ind/>
      <w:jc w:val="center"/>
    </w:pPr>
    <w:rPr>
      <w:sz w:val="20"/>
    </w:rPr>
  </w:style>
  <w:style w:styleId="Style_214_ch" w:type="character">
    <w:name w:val="xl70"/>
    <w:basedOn w:val="Style_3_ch"/>
    <w:link w:val="Style_214"/>
    <w:rPr>
      <w:sz w:val="20"/>
    </w:rPr>
  </w:style>
  <w:style w:styleId="Style_215" w:type="paragraph">
    <w:name w:val="Quote"/>
    <w:basedOn w:val="Style_3"/>
    <w:next w:val="Style_3"/>
    <w:link w:val="Style_215_ch"/>
    <w:pPr>
      <w:spacing w:line="360" w:lineRule="auto"/>
      <w:ind w:firstLine="680" w:left="0"/>
      <w:jc w:val="both"/>
    </w:pPr>
    <w:rPr>
      <w:rFonts w:ascii="Cambria" w:hAnsi="Cambria"/>
      <w:i w:val="1"/>
      <w:color w:val="5A5A5A"/>
    </w:rPr>
  </w:style>
  <w:style w:styleId="Style_215_ch" w:type="character">
    <w:name w:val="Quote"/>
    <w:basedOn w:val="Style_3_ch"/>
    <w:link w:val="Style_215"/>
    <w:rPr>
      <w:rFonts w:ascii="Cambria" w:hAnsi="Cambria"/>
      <w:i w:val="1"/>
      <w:color w:val="5A5A5A"/>
    </w:rPr>
  </w:style>
  <w:style w:styleId="Style_216" w:type="paragraph">
    <w:name w:val="toc 5"/>
    <w:basedOn w:val="Style_3"/>
    <w:next w:val="Style_3"/>
    <w:link w:val="Style_216_ch"/>
    <w:uiPriority w:val="39"/>
    <w:pPr>
      <w:ind w:firstLine="0" w:left="960"/>
    </w:pPr>
    <w:rPr>
      <w:sz w:val="18"/>
    </w:rPr>
  </w:style>
  <w:style w:styleId="Style_216_ch" w:type="character">
    <w:name w:val="toc 5"/>
    <w:basedOn w:val="Style_3_ch"/>
    <w:link w:val="Style_216"/>
    <w:rPr>
      <w:sz w:val="18"/>
    </w:rPr>
  </w:style>
  <w:style w:styleId="Style_217" w:type="paragraph">
    <w:name w:val="S_Таблица"/>
    <w:basedOn w:val="Style_3"/>
    <w:link w:val="Style_217_ch"/>
    <w:pPr>
      <w:numPr>
        <w:numId w:val="16"/>
      </w:numPr>
      <w:ind w:right="-158"/>
      <w:jc w:val="right"/>
    </w:pPr>
  </w:style>
  <w:style w:styleId="Style_217_ch" w:type="character">
    <w:name w:val="S_Таблица"/>
    <w:basedOn w:val="Style_3_ch"/>
    <w:link w:val="Style_217"/>
  </w:style>
  <w:style w:styleId="Style_218" w:type="paragraph">
    <w:name w:val="Note Heading"/>
    <w:basedOn w:val="Style_3"/>
    <w:next w:val="Style_3"/>
    <w:link w:val="Style_218_ch"/>
    <w:pPr>
      <w:spacing w:line="360" w:lineRule="auto"/>
      <w:ind w:firstLine="709" w:left="1080"/>
      <w:jc w:val="both"/>
    </w:pPr>
    <w:rPr>
      <w:rFonts w:ascii="Arial" w:hAnsi="Arial"/>
      <w:spacing w:val="-5"/>
      <w:sz w:val="20"/>
    </w:rPr>
  </w:style>
  <w:style w:styleId="Style_218_ch" w:type="character">
    <w:name w:val="Note Heading"/>
    <w:basedOn w:val="Style_3_ch"/>
    <w:link w:val="Style_218"/>
    <w:rPr>
      <w:rFonts w:ascii="Arial" w:hAnsi="Arial"/>
      <w:spacing w:val="-5"/>
      <w:sz w:val="20"/>
    </w:rPr>
  </w:style>
  <w:style w:styleId="Style_219" w:type="paragraph">
    <w:name w:val="macro"/>
    <w:link w:val="Style_219_ch"/>
    <w:pPr>
      <w:tabs>
        <w:tab w:leader="none" w:pos="480" w:val="left"/>
        <w:tab w:leader="none" w:pos="960" w:val="left"/>
        <w:tab w:leader="none" w:pos="1440" w:val="left"/>
        <w:tab w:leader="none" w:pos="1920" w:val="left"/>
        <w:tab w:leader="none" w:pos="2400" w:val="left"/>
        <w:tab w:leader="none" w:pos="2880" w:val="left"/>
        <w:tab w:leader="none" w:pos="3360" w:val="left"/>
        <w:tab w:leader="none" w:pos="3840" w:val="left"/>
        <w:tab w:leader="none" w:pos="4320" w:val="left"/>
      </w:tabs>
      <w:ind/>
    </w:pPr>
    <w:rPr>
      <w:rFonts w:ascii="Courier New" w:hAnsi="Courier New"/>
    </w:rPr>
  </w:style>
  <w:style w:styleId="Style_219_ch" w:type="character">
    <w:name w:val="macro"/>
    <w:link w:val="Style_219"/>
    <w:rPr>
      <w:rFonts w:ascii="Courier New" w:hAnsi="Courier New"/>
    </w:rPr>
  </w:style>
  <w:style w:styleId="Style_220" w:type="paragraph">
    <w:name w:val="Текст сноски Знак1"/>
    <w:link w:val="Style_220_ch"/>
  </w:style>
  <w:style w:styleId="Style_220_ch" w:type="character">
    <w:name w:val="Текст сноски Знак1"/>
    <w:link w:val="Style_220"/>
  </w:style>
  <w:style w:styleId="Style_16" w:type="paragraph">
    <w:name w:val="S_Обычный"/>
    <w:basedOn w:val="Style_3"/>
    <w:link w:val="Style_16_ch"/>
    <w:pPr>
      <w:spacing w:after="60" w:before="120"/>
      <w:ind w:firstLine="567" w:left="0"/>
      <w:jc w:val="both"/>
    </w:pPr>
  </w:style>
  <w:style w:styleId="Style_16_ch" w:type="character">
    <w:name w:val="S_Обычный"/>
    <w:basedOn w:val="Style_3_ch"/>
    <w:link w:val="Style_16"/>
  </w:style>
  <w:style w:styleId="Style_221" w:type="paragraph">
    <w:name w:val="S_Нумерованный"/>
    <w:basedOn w:val="Style_3"/>
    <w:link w:val="Style_221_ch"/>
    <w:pPr>
      <w:numPr>
        <w:numId w:val="17"/>
      </w:numPr>
      <w:tabs>
        <w:tab w:leader="none" w:pos="992" w:val="left"/>
      </w:tabs>
      <w:spacing w:line="360" w:lineRule="auto"/>
      <w:ind w:firstLine="709" w:left="0"/>
      <w:jc w:val="both"/>
    </w:pPr>
  </w:style>
  <w:style w:styleId="Style_221_ch" w:type="character">
    <w:name w:val="S_Нумерованный"/>
    <w:basedOn w:val="Style_3_ch"/>
    <w:link w:val="Style_221"/>
  </w:style>
  <w:style w:styleId="Style_222" w:type="paragraph">
    <w:name w:val="index 5"/>
    <w:basedOn w:val="Style_3"/>
    <w:next w:val="Style_3"/>
    <w:link w:val="Style_222_ch"/>
    <w:pPr>
      <w:ind w:hanging="240" w:left="1200"/>
    </w:pPr>
  </w:style>
  <w:style w:styleId="Style_222_ch" w:type="character">
    <w:name w:val="index 5"/>
    <w:basedOn w:val="Style_3_ch"/>
    <w:link w:val="Style_222"/>
  </w:style>
  <w:style w:styleId="Style_223" w:type="paragraph">
    <w:name w:val="Текст выноски Знак1"/>
    <w:link w:val="Style_223_ch"/>
    <w:rPr>
      <w:rFonts w:ascii="Tahoma" w:hAnsi="Tahoma"/>
      <w:sz w:val="16"/>
    </w:rPr>
  </w:style>
  <w:style w:styleId="Style_223_ch" w:type="character">
    <w:name w:val="Текст выноски Знак1"/>
    <w:link w:val="Style_223"/>
    <w:rPr>
      <w:rFonts w:ascii="Tahoma" w:hAnsi="Tahoma"/>
      <w:sz w:val="16"/>
    </w:rPr>
  </w:style>
  <w:style w:styleId="Style_224" w:type="paragraph">
    <w:name w:val="- S_Маркированный"/>
    <w:basedOn w:val="Style_3"/>
    <w:link w:val="Style_224_ch"/>
    <w:pPr>
      <w:ind w:firstLine="0" w:left="284"/>
    </w:pPr>
    <w:rPr>
      <w:b w:val="1"/>
      <w:color w:val="76923C"/>
    </w:rPr>
  </w:style>
  <w:style w:styleId="Style_224_ch" w:type="character">
    <w:name w:val="- S_Маркированный"/>
    <w:basedOn w:val="Style_3_ch"/>
    <w:link w:val="Style_224"/>
    <w:rPr>
      <w:b w:val="1"/>
      <w:color w:val="76923C"/>
    </w:rPr>
  </w:style>
  <w:style w:styleId="Style_225" w:type="paragraph">
    <w:name w:val="annotation reference"/>
    <w:link w:val="Style_225_ch"/>
    <w:rPr>
      <w:sz w:val="16"/>
    </w:rPr>
  </w:style>
  <w:style w:styleId="Style_225_ch" w:type="character">
    <w:name w:val="annotation reference"/>
    <w:link w:val="Style_225"/>
    <w:rPr>
      <w:sz w:val="16"/>
    </w:rPr>
  </w:style>
  <w:style w:styleId="Style_226" w:type="paragraph">
    <w:name w:val="Табличный_заголовки_10"/>
    <w:basedOn w:val="Style_8"/>
    <w:link w:val="Style_226_ch"/>
    <w:pPr>
      <w:ind/>
      <w:jc w:val="center"/>
    </w:pPr>
    <w:rPr>
      <w:b w:val="1"/>
      <w:sz w:val="20"/>
    </w:rPr>
  </w:style>
  <w:style w:styleId="Style_226_ch" w:type="character">
    <w:name w:val="Табличный_заголовки_10"/>
    <w:basedOn w:val="Style_8_ch"/>
    <w:link w:val="Style_226"/>
    <w:rPr>
      <w:b w:val="1"/>
      <w:sz w:val="20"/>
    </w:rPr>
  </w:style>
  <w:style w:styleId="Style_227" w:type="paragraph">
    <w:name w:val="Emphasis"/>
    <w:link w:val="Style_227_ch"/>
    <w:rPr>
      <w:b w:val="1"/>
      <w:i w:val="1"/>
      <w:color w:val="5A5A5A"/>
    </w:rPr>
  </w:style>
  <w:style w:styleId="Style_227_ch" w:type="character">
    <w:name w:val="Emphasis"/>
    <w:link w:val="Style_227"/>
    <w:rPr>
      <w:b w:val="1"/>
      <w:i w:val="1"/>
      <w:color w:val="5A5A5A"/>
    </w:rPr>
  </w:style>
  <w:style w:styleId="Style_228" w:type="paragraph">
    <w:name w:val="Стиль S_Маркированный + Междустр.интервал:  полуторный"/>
    <w:basedOn w:val="Style_106"/>
    <w:link w:val="Style_228_ch"/>
    <w:pPr>
      <w:widowControl w:val="0"/>
      <w:tabs>
        <w:tab w:leader="none" w:pos="900" w:val="left"/>
      </w:tabs>
      <w:ind w:firstLine="0" w:left="284"/>
      <w:jc w:val="both"/>
    </w:pPr>
    <w:rPr>
      <w:b w:val="0"/>
      <w:caps w:val="0"/>
    </w:rPr>
  </w:style>
  <w:style w:styleId="Style_228_ch" w:type="character">
    <w:name w:val="Стиль S_Маркированный + Междустр.интервал:  полуторный"/>
    <w:basedOn w:val="Style_106_ch"/>
    <w:link w:val="Style_228"/>
    <w:rPr>
      <w:b w:val="0"/>
      <w:caps w:val="0"/>
    </w:rPr>
  </w:style>
  <w:style w:styleId="Style_229" w:type="paragraph">
    <w:name w:val="Основной текст Знак1"/>
    <w:link w:val="Style_229_ch"/>
    <w:rPr>
      <w:sz w:val="24"/>
    </w:rPr>
  </w:style>
  <w:style w:styleId="Style_229_ch" w:type="character">
    <w:name w:val="Основной текст Знак1"/>
    <w:link w:val="Style_229"/>
    <w:rPr>
      <w:sz w:val="24"/>
    </w:rPr>
  </w:style>
  <w:style w:styleId="Style_230" w:type="paragraph">
    <w:name w:val="blk"/>
    <w:basedOn w:val="Style_40"/>
    <w:link w:val="Style_230_ch"/>
  </w:style>
  <w:style w:styleId="Style_230_ch" w:type="character">
    <w:name w:val="blk"/>
    <w:basedOn w:val="Style_40_ch"/>
    <w:link w:val="Style_230"/>
  </w:style>
  <w:style w:styleId="Style_231" w:type="paragraph">
    <w:name w:val="xl64"/>
    <w:basedOn w:val="Style_3"/>
    <w:link w:val="Style_231_ch"/>
    <w:pPr>
      <w:spacing w:afterAutospacing="on" w:beforeAutospacing="on"/>
      <w:ind/>
    </w:pPr>
  </w:style>
  <w:style w:styleId="Style_231_ch" w:type="character">
    <w:name w:val="xl64"/>
    <w:basedOn w:val="Style_3_ch"/>
    <w:link w:val="Style_231"/>
  </w:style>
  <w:style w:styleId="Style_232" w:type="paragraph">
    <w:name w:val="Subtitle"/>
    <w:basedOn w:val="Style_3"/>
    <w:next w:val="Style_3"/>
    <w:link w:val="Style_232_ch"/>
    <w:uiPriority w:val="11"/>
    <w:qFormat/>
    <w:pPr>
      <w:spacing w:after="900" w:before="200" w:line="360" w:lineRule="auto"/>
      <w:ind w:firstLine="680" w:left="0"/>
      <w:jc w:val="right"/>
    </w:pPr>
    <w:rPr>
      <w:i w:val="1"/>
    </w:rPr>
  </w:style>
  <w:style w:styleId="Style_232_ch" w:type="character">
    <w:name w:val="Subtitle"/>
    <w:basedOn w:val="Style_3_ch"/>
    <w:link w:val="Style_232"/>
    <w:rPr>
      <w:i w:val="1"/>
    </w:rPr>
  </w:style>
  <w:style w:styleId="Style_233" w:type="paragraph">
    <w:name w:val="footnote reference"/>
    <w:link w:val="Style_233_ch"/>
    <w:rPr>
      <w:vertAlign w:val="superscript"/>
    </w:rPr>
  </w:style>
  <w:style w:styleId="Style_233_ch" w:type="character">
    <w:name w:val="footnote reference"/>
    <w:link w:val="Style_233"/>
    <w:rPr>
      <w:vertAlign w:val="superscript"/>
    </w:rPr>
  </w:style>
  <w:style w:styleId="Style_234" w:type="paragraph">
    <w:name w:val="Стиль S_Заголовок 2 + не полужирный"/>
    <w:basedOn w:val="Style_19"/>
    <w:link w:val="Style_234_ch"/>
    <w:pPr>
      <w:tabs>
        <w:tab w:leader="none" w:pos="360" w:val="clear"/>
      </w:tabs>
      <w:ind w:firstLine="0" w:left="0"/>
    </w:pPr>
  </w:style>
  <w:style w:styleId="Style_234_ch" w:type="character">
    <w:name w:val="Стиль S_Заголовок 2 + не полужирный"/>
    <w:basedOn w:val="Style_19_ch"/>
    <w:link w:val="Style_234"/>
  </w:style>
  <w:style w:styleId="Style_235" w:type="paragraph">
    <w:name w:val="List 5"/>
    <w:basedOn w:val="Style_9"/>
    <w:link w:val="Style_235_ch"/>
    <w:pPr>
      <w:numPr>
        <w:ilvl w:val="0"/>
        <w:numId w:val="0"/>
      </w:numPr>
      <w:spacing w:after="240" w:line="240" w:lineRule="atLeast"/>
      <w:ind w:hanging="360" w:left="2880"/>
    </w:pPr>
    <w:rPr>
      <w:rFonts w:ascii="Arial" w:hAnsi="Arial"/>
      <w:spacing w:val="-5"/>
      <w:sz w:val="20"/>
    </w:rPr>
  </w:style>
  <w:style w:styleId="Style_235_ch" w:type="character">
    <w:name w:val="List 5"/>
    <w:basedOn w:val="Style_9_ch"/>
    <w:link w:val="Style_235"/>
    <w:rPr>
      <w:rFonts w:ascii="Arial" w:hAnsi="Arial"/>
      <w:spacing w:val="-5"/>
      <w:sz w:val="20"/>
    </w:rPr>
  </w:style>
  <w:style w:styleId="Style_236" w:type="paragraph">
    <w:name w:val="S_Заголовок 4"/>
    <w:basedOn w:val="Style_237"/>
    <w:link w:val="Style_236_ch"/>
    <w:pPr>
      <w:keepNext w:val="0"/>
      <w:numPr>
        <w:ilvl w:val="0"/>
        <w:numId w:val="0"/>
      </w:numPr>
      <w:tabs>
        <w:tab w:leader="none" w:pos="1418" w:val="clear"/>
        <w:tab w:leader="none" w:pos="1800" w:val="left"/>
      </w:tabs>
      <w:spacing w:after="0" w:before="0"/>
      <w:ind w:hanging="720" w:left="1800"/>
    </w:pPr>
    <w:rPr>
      <w:b w:val="0"/>
      <w:i w:val="1"/>
    </w:rPr>
  </w:style>
  <w:style w:styleId="Style_236_ch" w:type="character">
    <w:name w:val="S_Заголовок 4"/>
    <w:basedOn w:val="Style_237_ch"/>
    <w:link w:val="Style_236"/>
    <w:rPr>
      <w:b w:val="0"/>
      <w:i w:val="1"/>
    </w:rPr>
  </w:style>
  <w:style w:styleId="Style_238" w:type="paragraph">
    <w:name w:val="index 9"/>
    <w:basedOn w:val="Style_3"/>
    <w:next w:val="Style_3"/>
    <w:link w:val="Style_238_ch"/>
    <w:pPr>
      <w:ind w:hanging="240" w:left="2160"/>
    </w:pPr>
  </w:style>
  <w:style w:styleId="Style_238_ch" w:type="character">
    <w:name w:val="index 9"/>
    <w:basedOn w:val="Style_3_ch"/>
    <w:link w:val="Style_238"/>
  </w:style>
  <w:style w:styleId="Style_239" w:type="paragraph">
    <w:name w:val="ГРАД Табличный текст (ширина)"/>
    <w:basedOn w:val="Style_3"/>
    <w:link w:val="Style_239_ch"/>
    <w:pPr>
      <w:tabs>
        <w:tab w:leader="none" w:pos="540" w:val="left"/>
      </w:tabs>
      <w:ind/>
      <w:jc w:val="center"/>
    </w:pPr>
    <w:rPr>
      <w:color w:val="000000"/>
      <w:spacing w:val="4"/>
    </w:rPr>
  </w:style>
  <w:style w:styleId="Style_239_ch" w:type="character">
    <w:name w:val="ГРАД Табличный текст (ширина)"/>
    <w:basedOn w:val="Style_3_ch"/>
    <w:link w:val="Style_239"/>
    <w:rPr>
      <w:color w:val="000000"/>
      <w:spacing w:val="4"/>
    </w:rPr>
  </w:style>
  <w:style w:styleId="Style_240" w:type="paragraph">
    <w:name w:val="xl72"/>
    <w:basedOn w:val="Style_3"/>
    <w:link w:val="Style_240_ch"/>
    <w:pPr>
      <w:spacing w:afterAutospacing="on" w:beforeAutospacing="on"/>
      <w:ind/>
      <w:jc w:val="center"/>
    </w:pPr>
    <w:rPr>
      <w:sz w:val="20"/>
    </w:rPr>
  </w:style>
  <w:style w:styleId="Style_240_ch" w:type="character">
    <w:name w:val="xl72"/>
    <w:basedOn w:val="Style_3_ch"/>
    <w:link w:val="Style_240"/>
    <w:rPr>
      <w:sz w:val="20"/>
    </w:rPr>
  </w:style>
  <w:style w:styleId="Style_241" w:type="paragraph">
    <w:name w:val="Title"/>
    <w:basedOn w:val="Style_3"/>
    <w:next w:val="Style_3"/>
    <w:link w:val="Style_241_ch"/>
    <w:uiPriority w:val="10"/>
    <w:qFormat/>
    <w:pPr>
      <w:spacing w:line="360" w:lineRule="auto"/>
      <w:ind w:firstLine="680" w:left="0"/>
      <w:jc w:val="center"/>
    </w:pPr>
    <w:rPr>
      <w:rFonts w:ascii="Cambria" w:hAnsi="Cambria"/>
      <w:i w:val="1"/>
      <w:color w:val="243F60"/>
      <w:sz w:val="60"/>
    </w:rPr>
  </w:style>
  <w:style w:styleId="Style_241_ch" w:type="character">
    <w:name w:val="Title"/>
    <w:basedOn w:val="Style_3_ch"/>
    <w:link w:val="Style_241"/>
    <w:rPr>
      <w:rFonts w:ascii="Cambria" w:hAnsi="Cambria"/>
      <w:i w:val="1"/>
      <w:color w:val="243F60"/>
      <w:sz w:val="60"/>
    </w:rPr>
  </w:style>
  <w:style w:styleId="Style_237" w:type="paragraph">
    <w:name w:val="heading 4"/>
    <w:basedOn w:val="Style_3"/>
    <w:next w:val="Style_8"/>
    <w:link w:val="Style_237_ch"/>
    <w:uiPriority w:val="9"/>
    <w:qFormat/>
    <w:pPr>
      <w:keepNext w:val="1"/>
      <w:numPr>
        <w:ilvl w:val="3"/>
        <w:numId w:val="6"/>
      </w:numPr>
      <w:tabs>
        <w:tab w:leader="none" w:pos="1418" w:val="left"/>
      </w:tabs>
      <w:spacing w:after="60" w:before="120"/>
      <w:ind/>
      <w:outlineLvl w:val="3"/>
    </w:pPr>
    <w:rPr>
      <w:b w:val="1"/>
    </w:rPr>
  </w:style>
  <w:style w:styleId="Style_237_ch" w:type="character">
    <w:name w:val="heading 4"/>
    <w:basedOn w:val="Style_3_ch"/>
    <w:link w:val="Style_237"/>
    <w:rPr>
      <w:b w:val="1"/>
    </w:rPr>
  </w:style>
  <w:style w:styleId="Style_242" w:type="paragraph">
    <w:name w:val="Стиль S_Маркированный+Обычный + Междустр.интервал:  полуторный"/>
    <w:basedOn w:val="Style_67"/>
    <w:link w:val="Style_242_ch"/>
    <w:pPr>
      <w:tabs>
        <w:tab w:leader="none" w:pos="851" w:val="left"/>
      </w:tabs>
      <w:ind w:firstLine="284" w:left="0"/>
      <w:jc w:val="left"/>
    </w:pPr>
  </w:style>
  <w:style w:styleId="Style_242_ch" w:type="character">
    <w:name w:val="Стиль S_Маркированный+Обычный + Междустр.интервал:  полуторный"/>
    <w:basedOn w:val="Style_67_ch"/>
    <w:link w:val="Style_242"/>
  </w:style>
  <w:style w:styleId="Style_8" w:type="paragraph">
    <w:name w:val="Абзац"/>
    <w:basedOn w:val="Style_3"/>
    <w:link w:val="Style_8_ch"/>
    <w:pPr>
      <w:spacing w:after="60" w:before="120"/>
      <w:ind w:firstLine="567" w:left="0"/>
      <w:jc w:val="both"/>
    </w:pPr>
  </w:style>
  <w:style w:styleId="Style_8_ch" w:type="character">
    <w:name w:val="Абзац"/>
    <w:basedOn w:val="Style_3_ch"/>
    <w:link w:val="Style_8"/>
  </w:style>
  <w:style w:styleId="Style_243" w:type="paragraph">
    <w:name w:val="xl81"/>
    <w:basedOn w:val="Style_3"/>
    <w:link w:val="Style_243_ch"/>
    <w:pPr>
      <w:spacing w:afterAutospacing="on" w:beforeAutospacing="on"/>
      <w:ind/>
      <w:jc w:val="center"/>
    </w:pPr>
    <w:rPr>
      <w:b w:val="1"/>
    </w:rPr>
  </w:style>
  <w:style w:styleId="Style_243_ch" w:type="character">
    <w:name w:val="xl81"/>
    <w:basedOn w:val="Style_3_ch"/>
    <w:link w:val="Style_243"/>
    <w:rPr>
      <w:b w:val="1"/>
    </w:rPr>
  </w:style>
  <w:style w:styleId="Style_244" w:type="paragraph">
    <w:name w:val="Список нумерованный"/>
    <w:basedOn w:val="Style_3"/>
    <w:link w:val="Style_244_ch"/>
    <w:pPr>
      <w:numPr>
        <w:numId w:val="18"/>
      </w:numPr>
      <w:spacing w:before="120"/>
      <w:ind/>
      <w:jc w:val="both"/>
    </w:pPr>
  </w:style>
  <w:style w:styleId="Style_244_ch" w:type="character">
    <w:name w:val="Список нумерованный"/>
    <w:basedOn w:val="Style_3_ch"/>
    <w:link w:val="Style_244"/>
  </w:style>
  <w:style w:styleId="Style_245" w:type="paragraph">
    <w:name w:val="TOC Heading"/>
    <w:basedOn w:val="Style_6"/>
    <w:next w:val="Style_3"/>
    <w:link w:val="Style_245_ch"/>
    <w:pPr>
      <w:keepNext w:val="0"/>
      <w:pageBreakBefore w:val="0"/>
      <w:tabs>
        <w:tab w:leader="none" w:pos="851" w:val="clear"/>
      </w:tabs>
      <w:spacing w:after="80" w:before="600" w:line="360" w:lineRule="auto"/>
      <w:ind w:firstLine="680" w:left="0"/>
      <w:jc w:val="both"/>
      <w:outlineLvl w:val="8"/>
    </w:pPr>
    <w:rPr>
      <w:rFonts w:ascii="Cambria" w:hAnsi="Cambria"/>
      <w:caps w:val="0"/>
      <w:color w:val="365F91"/>
      <w:sz w:val="24"/>
    </w:rPr>
  </w:style>
  <w:style w:styleId="Style_245_ch" w:type="character">
    <w:name w:val="TOC Heading"/>
    <w:basedOn w:val="Style_6_ch"/>
    <w:link w:val="Style_245"/>
    <w:rPr>
      <w:rFonts w:ascii="Cambria" w:hAnsi="Cambria"/>
      <w:caps w:val="0"/>
      <w:color w:val="365F91"/>
      <w:sz w:val="24"/>
    </w:rPr>
  </w:style>
  <w:style w:styleId="Style_246" w:type="paragraph">
    <w:name w:val="List Continue 4"/>
    <w:basedOn w:val="Style_54"/>
    <w:link w:val="Style_246_ch"/>
    <w:pPr>
      <w:ind w:firstLine="0" w:left="2880"/>
    </w:pPr>
  </w:style>
  <w:style w:styleId="Style_246_ch" w:type="character">
    <w:name w:val="List Continue 4"/>
    <w:basedOn w:val="Style_54_ch"/>
    <w:link w:val="Style_246"/>
  </w:style>
  <w:style w:styleId="Style_38" w:type="paragraph">
    <w:name w:val="List Bullet"/>
    <w:basedOn w:val="Style_3"/>
    <w:link w:val="Style_38_ch"/>
    <w:pPr>
      <w:spacing w:line="360" w:lineRule="auto"/>
      <w:ind w:hanging="360" w:left="1571"/>
      <w:contextualSpacing w:val="1"/>
      <w:jc w:val="both"/>
    </w:pPr>
  </w:style>
  <w:style w:styleId="Style_38_ch" w:type="character">
    <w:name w:val="List Bullet"/>
    <w:basedOn w:val="Style_3_ch"/>
    <w:link w:val="Style_38"/>
  </w:style>
  <w:style w:styleId="Style_247" w:type="paragraph">
    <w:name w:val="xl66"/>
    <w:basedOn w:val="Style_3"/>
    <w:link w:val="Style_247_ch"/>
    <w:pPr>
      <w:spacing w:afterAutospacing="on" w:beforeAutospacing="on"/>
      <w:ind/>
      <w:jc w:val="center"/>
    </w:pPr>
    <w:rPr>
      <w:b w:val="1"/>
    </w:rPr>
  </w:style>
  <w:style w:styleId="Style_247_ch" w:type="character">
    <w:name w:val="xl66"/>
    <w:basedOn w:val="Style_3_ch"/>
    <w:link w:val="Style_247"/>
    <w:rPr>
      <w:b w:val="1"/>
    </w:rPr>
  </w:style>
  <w:style w:styleId="Style_248" w:type="paragraph">
    <w:name w:val="xl87"/>
    <w:basedOn w:val="Style_3"/>
    <w:link w:val="Style_248_ch"/>
    <w:pPr>
      <w:spacing w:afterAutospacing="on" w:beforeAutospacing="on"/>
      <w:ind/>
    </w:pPr>
    <w:rPr>
      <w:sz w:val="16"/>
    </w:rPr>
  </w:style>
  <w:style w:styleId="Style_248_ch" w:type="character">
    <w:name w:val="xl87"/>
    <w:basedOn w:val="Style_3_ch"/>
    <w:link w:val="Style_248"/>
    <w:rPr>
      <w:sz w:val="16"/>
    </w:rPr>
  </w:style>
  <w:style w:styleId="Style_249" w:type="paragraph">
    <w:name w:val="envelope address"/>
    <w:basedOn w:val="Style_3"/>
    <w:link w:val="Style_249_ch"/>
    <w:pPr>
      <w:spacing w:line="360" w:lineRule="auto"/>
      <w:ind w:firstLine="709" w:left="2880"/>
      <w:jc w:val="both"/>
    </w:pPr>
    <w:rPr>
      <w:rFonts w:ascii="Arial" w:hAnsi="Arial"/>
      <w:spacing w:val="-5"/>
      <w:sz w:val="28"/>
    </w:rPr>
  </w:style>
  <w:style w:styleId="Style_249_ch" w:type="character">
    <w:name w:val="envelope address"/>
    <w:basedOn w:val="Style_3_ch"/>
    <w:link w:val="Style_249"/>
    <w:rPr>
      <w:rFonts w:ascii="Arial" w:hAnsi="Arial"/>
      <w:spacing w:val="-5"/>
      <w:sz w:val="28"/>
    </w:rPr>
  </w:style>
  <w:style w:styleId="Style_7" w:type="paragraph">
    <w:name w:val="heading 2"/>
    <w:basedOn w:val="Style_3"/>
    <w:next w:val="Style_8"/>
    <w:link w:val="Style_7_ch"/>
    <w:uiPriority w:val="9"/>
    <w:qFormat/>
    <w:pPr>
      <w:keepNext w:val="1"/>
      <w:tabs>
        <w:tab w:leader="none" w:pos="1134" w:val="left"/>
        <w:tab w:leader="none" w:pos="1276" w:val="left"/>
      </w:tabs>
      <w:spacing w:after="60" w:before="180"/>
      <w:ind/>
      <w:outlineLvl w:val="1"/>
    </w:pPr>
    <w:rPr>
      <w:b w:val="1"/>
      <w:sz w:val="28"/>
    </w:rPr>
  </w:style>
  <w:style w:styleId="Style_7_ch" w:type="character">
    <w:name w:val="heading 2"/>
    <w:basedOn w:val="Style_3_ch"/>
    <w:link w:val="Style_7"/>
    <w:rPr>
      <w:b w:val="1"/>
      <w:sz w:val="28"/>
    </w:rPr>
  </w:style>
  <w:style w:styleId="Style_250" w:type="paragraph">
    <w:name w:val="глава МНГП"/>
    <w:basedOn w:val="Style_7"/>
    <w:link w:val="Style_250_ch"/>
    <w:pPr>
      <w:keepLines w:val="1"/>
      <w:numPr>
        <w:numId w:val="19"/>
      </w:numPr>
      <w:tabs>
        <w:tab w:leader="none" w:pos="1134" w:val="clear"/>
        <w:tab w:leader="none" w:pos="1276" w:val="clear"/>
      </w:tabs>
      <w:spacing w:after="0" w:before="200" w:line="276" w:lineRule="auto"/>
      <w:ind/>
      <w:jc w:val="both"/>
    </w:pPr>
    <w:rPr>
      <w:sz w:val="24"/>
    </w:rPr>
  </w:style>
  <w:style w:styleId="Style_250_ch" w:type="character">
    <w:name w:val="глава МНГП"/>
    <w:basedOn w:val="Style_7_ch"/>
    <w:link w:val="Style_250"/>
    <w:rPr>
      <w:sz w:val="24"/>
    </w:rPr>
  </w:style>
  <w:style w:styleId="Style_251" w:type="paragraph">
    <w:name w:val="Основной текст + 111"/>
    <w:basedOn w:val="Style_40"/>
    <w:link w:val="Style_251_ch"/>
    <w:rPr>
      <w:rFonts w:ascii="Times New Roman" w:hAnsi="Times New Roman"/>
      <w:color w:val="000000"/>
      <w:spacing w:val="0"/>
      <w:sz w:val="23"/>
    </w:rPr>
  </w:style>
  <w:style w:styleId="Style_251_ch" w:type="character">
    <w:name w:val="Основной текст + 111"/>
    <w:basedOn w:val="Style_40_ch"/>
    <w:link w:val="Style_251"/>
    <w:rPr>
      <w:rFonts w:ascii="Times New Roman" w:hAnsi="Times New Roman"/>
      <w:color w:val="000000"/>
      <w:spacing w:val="0"/>
      <w:sz w:val="23"/>
    </w:rPr>
  </w:style>
  <w:style w:styleId="Style_252" w:type="paragraph">
    <w:name w:val="heading 6"/>
    <w:basedOn w:val="Style_3"/>
    <w:next w:val="Style_3"/>
    <w:link w:val="Style_252_ch"/>
    <w:uiPriority w:val="9"/>
    <w:qFormat/>
    <w:pPr>
      <w:numPr>
        <w:ilvl w:val="5"/>
        <w:numId w:val="6"/>
      </w:numPr>
      <w:spacing w:after="60" w:before="240"/>
      <w:ind/>
      <w:outlineLvl w:val="5"/>
    </w:pPr>
    <w:rPr>
      <w:b w:val="1"/>
      <w:sz w:val="22"/>
    </w:rPr>
  </w:style>
  <w:style w:styleId="Style_252_ch" w:type="character">
    <w:name w:val="heading 6"/>
    <w:basedOn w:val="Style_3_ch"/>
    <w:link w:val="Style_252"/>
    <w:rPr>
      <w:b w:val="1"/>
      <w:sz w:val="22"/>
    </w:rPr>
  </w:style>
  <w:style w:styleId="Style_253" w:type="paragraph">
    <w:name w:val="HTML Code"/>
    <w:link w:val="Style_253_ch"/>
    <w:rPr>
      <w:rFonts w:ascii="Courier New" w:hAnsi="Courier New"/>
      <w:sz w:val="20"/>
    </w:rPr>
  </w:style>
  <w:style w:styleId="Style_253_ch" w:type="character">
    <w:name w:val="HTML Code"/>
    <w:link w:val="Style_253"/>
    <w:rPr>
      <w:rFonts w:ascii="Courier New" w:hAnsi="Courier New"/>
      <w:sz w:val="20"/>
    </w:rPr>
  </w:style>
  <w:style w:styleId="Style_254" w:type="paragraph">
    <w:name w:val="E-mail Signature"/>
    <w:basedOn w:val="Style_3"/>
    <w:link w:val="Style_254_ch"/>
    <w:pPr>
      <w:spacing w:line="360" w:lineRule="auto"/>
      <w:ind w:firstLine="709" w:left="1080"/>
      <w:jc w:val="both"/>
    </w:pPr>
    <w:rPr>
      <w:rFonts w:ascii="Arial" w:hAnsi="Arial"/>
      <w:spacing w:val="-5"/>
      <w:sz w:val="20"/>
    </w:rPr>
  </w:style>
  <w:style w:styleId="Style_254_ch" w:type="character">
    <w:name w:val="E-mail Signature"/>
    <w:basedOn w:val="Style_3_ch"/>
    <w:link w:val="Style_254"/>
    <w:rPr>
      <w:rFonts w:ascii="Arial" w:hAnsi="Arial"/>
      <w:spacing w:val="-5"/>
      <w:sz w:val="20"/>
    </w:rPr>
  </w:style>
  <w:style w:styleId="Style_255" w:type="paragraph">
    <w:name w:val="Header Odd"/>
    <w:basedOn w:val="Style_58"/>
    <w:link w:val="Style_255_ch"/>
    <w:pPr>
      <w:spacing w:line="240" w:lineRule="auto"/>
      <w:ind w:firstLine="0" w:left="0"/>
      <w:jc w:val="right"/>
    </w:pPr>
    <w:rPr>
      <w:rFonts w:ascii="Calibri" w:hAnsi="Calibri"/>
      <w:b w:val="1"/>
      <w:color w:val="1F497D"/>
      <w:sz w:val="20"/>
    </w:rPr>
  </w:style>
  <w:style w:styleId="Style_255_ch" w:type="character">
    <w:name w:val="Header Odd"/>
    <w:basedOn w:val="Style_58_ch"/>
    <w:link w:val="Style_255"/>
    <w:rPr>
      <w:rFonts w:ascii="Calibri" w:hAnsi="Calibri"/>
      <w:b w:val="1"/>
      <w:color w:val="1F497D"/>
      <w:sz w:val="20"/>
    </w:rPr>
  </w:style>
  <w:style w:styleId="Style_256" w:type="table">
    <w:name w:val="Table Classic 1"/>
    <w:basedOn w:val="Style_11"/>
    <w:tblPr>
      <w:tblInd w:type="dxa" w:w="0"/>
      <w:tblBorders>
        <w:top w:color="000000" w:sz="12" w:val="single"/>
        <w:bottom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57" w:type="table">
    <w:name w:val="Столбцы таблицы 11"/>
    <w:basedOn w:val="Style_11"/>
    <w:rPr>
      <w:b w:val="1"/>
    </w:rPr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58" w:type="table">
    <w:name w:val="Table Classic 4"/>
    <w:basedOn w:val="Style_11"/>
    <w:tblPr>
      <w:tblInd w:type="dxa" w:w="0"/>
      <w:tblBorders>
        <w:top w:color="000000" w:sz="12" w:val="single"/>
        <w:left w:color="000000" w:sz="6" w:val="single"/>
        <w:bottom w:color="000000" w:sz="12" w:val="single"/>
        <w:right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59" w:type="table">
    <w:name w:val="Table List 5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60" w:type="table">
    <w:name w:val="Table List 8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61" w:type="table">
    <w:name w:val="Table List 7"/>
    <w:basedOn w:val="Style_11"/>
    <w:tblPr>
      <w:tblInd w:type="dxa" w:w="0"/>
      <w:tblBorders>
        <w:top w:color="008000" w:sz="12" w:val="single"/>
        <w:left w:color="008000" w:sz="6" w:val="single"/>
        <w:bottom w:color="008000" w:sz="12" w:val="single"/>
        <w:right w:color="008000" w:sz="6" w:val="single"/>
        <w:insideH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62" w:type="table">
    <w:name w:val="Объемная таблица 11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63" w:type="table">
    <w:name w:val="Table Elegant"/>
    <w:basedOn w:val="Style_11"/>
    <w:tblPr>
      <w:tblInd w:type="dxa" w:w="0"/>
      <w:tblBorders>
        <w:top w:color="000000" w:sz="6" w:val="double"/>
        <w:left w:color="000000" w:sz="6" w:val="double"/>
        <w:bottom w:color="000000" w:sz="6" w:val="double"/>
        <w:right w:color="000000" w:sz="6" w:val="doub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64" w:type="table">
    <w:name w:val="Таблица-список 41"/>
    <w:basedOn w:val="Style_11"/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  <w:insideH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65" w:type="table">
    <w:name w:val="Таблица-список 51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66" w:type="table">
    <w:name w:val="Объемная таблица 31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67" w:type="table">
    <w:name w:val="Table 3D effects 2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68" w:type="table">
    <w:name w:val="Table Classic 3"/>
    <w:basedOn w:val="Style_11"/>
    <w:rPr>
      <w:color w:val="000080"/>
    </w:rPr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69" w:type="table">
    <w:name w:val="Table Grid 5"/>
    <w:basedOn w:val="Style_11"/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70" w:type="table">
    <w:name w:val="Таблица-список 61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71" w:type="table">
    <w:name w:val="Table Colorful 1"/>
    <w:basedOn w:val="Style_11"/>
    <w:rPr>
      <w:color w:val="FFFFFF"/>
    </w:rPr>
    <w:tblPr>
      <w:tblInd w:type="dxa" w:w="0"/>
      <w:tblBorders>
        <w:top w:color="008080" w:sz="12" w:val="single"/>
        <w:left w:color="008080" w:sz="12" w:val="single"/>
        <w:bottom w:color="008080" w:sz="12" w:val="single"/>
        <w:right w:color="008080" w:sz="12" w:val="single"/>
        <w:insideH w:color="00FFFF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72" w:type="table">
    <w:name w:val="Сетка таблицы 41"/>
    <w:basedOn w:val="Style_11"/>
    <w:tblPr>
      <w:tblInd w:type="dxa" w:w="0"/>
      <w:tblBorders>
        <w:left w:color="000000" w:sz="12" w:val="single"/>
        <w:right w:color="000000" w:sz="12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73" w:type="table">
    <w:name w:val="Столбцы таблицы 21"/>
    <w:basedOn w:val="Style_11"/>
    <w:rPr>
      <w:b w:val="1"/>
    </w:rPr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74" w:type="table">
    <w:name w:val="Таблица-список 31"/>
    <w:basedOn w:val="Style_11"/>
    <w:tblPr>
      <w:tblInd w:type="dxa" w:w="0"/>
      <w:tblBorders>
        <w:top w:color="000000" w:sz="12" w:val="single"/>
        <w:bottom w:color="000000" w:sz="12" w:val="single"/>
        <w:insideH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75" w:type="table">
    <w:name w:val="Table Columns 2"/>
    <w:basedOn w:val="Style_11"/>
    <w:rPr>
      <w:b w:val="1"/>
    </w:rPr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76" w:type="table">
    <w:name w:val="Table Grid 1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77" w:type="table">
    <w:name w:val="Классическая таблица 11"/>
    <w:basedOn w:val="Style_11"/>
    <w:tblPr>
      <w:tblInd w:type="dxa" w:w="0"/>
      <w:tblBorders>
        <w:top w:color="000000" w:sz="12" w:val="single"/>
        <w:bottom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default="1" w:styleId="Style_1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78" w:type="table">
    <w:name w:val="Таблица-список 81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79" w:type="table">
    <w:name w:val="Стандартная таблица1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0" w:type="table">
    <w:name w:val="Table List 3"/>
    <w:basedOn w:val="Style_11"/>
    <w:tblPr>
      <w:tblInd w:type="dxa" w:w="0"/>
      <w:tblBorders>
        <w:top w:color="000000" w:sz="12" w:val="single"/>
        <w:bottom w:color="000000" w:sz="12" w:val="single"/>
        <w:insideH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1" w:type="table">
    <w:name w:val="Table Web 3"/>
    <w:basedOn w:val="Style_11"/>
    <w:tblPr>
      <w:tblInd w:type="dxa" w:w="0"/>
      <w:tblBorders>
        <w:top w:color="000000" w:sz="24" w:val="single"/>
        <w:left w:color="000000" w:sz="24" w:val="single"/>
        <w:bottom w:color="000000" w:sz="24" w:val="single"/>
        <w:right w:color="000000" w:sz="24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2" w:type="table">
    <w:name w:val="Классическая таблица 21"/>
    <w:basedOn w:val="Style_11"/>
    <w:tblPr>
      <w:tblInd w:type="dxa" w:w="0"/>
      <w:tblBorders>
        <w:top w:color="000000" w:sz="12" w:val="single"/>
        <w:bottom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3" w:type="table">
    <w:name w:val="Table Grid 4"/>
    <w:basedOn w:val="Style_11"/>
    <w:tblPr>
      <w:tblInd w:type="dxa" w:w="0"/>
      <w:tblBorders>
        <w:left w:color="000000" w:sz="12" w:val="single"/>
        <w:right w:color="000000" w:sz="12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4" w:type="table">
    <w:name w:val="Простая таблица 11"/>
    <w:basedOn w:val="Style_11"/>
    <w:tblPr>
      <w:tblInd w:type="dxa" w:w="0"/>
      <w:tblBorders>
        <w:top w:color="008000" w:sz="12" w:val="single"/>
        <w:bottom w:color="008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5" w:type="table">
    <w:name w:val="Средняя заливка 2 - Акцент 51"/>
    <w:basedOn w:val="Style_11"/>
    <w:rPr>
      <w:rFonts w:ascii="Calibri" w:hAnsi="Calibri"/>
      <w:sz w:val="22"/>
    </w:rPr>
    <w:tblPr>
      <w:tblInd w:type="dxa" w:w="0"/>
      <w:tblBorders>
        <w:top w:color="000000" w:sz="18" w:val="single"/>
        <w:bottom w:color="000000" w:sz="18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6" w:type="table">
    <w:name w:val="Сетка таблицы 71"/>
    <w:basedOn w:val="Style_11"/>
    <w:rPr>
      <w:b w:val="1"/>
    </w:rPr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7" w:type="table">
    <w:name w:val="Цветная таблица 31"/>
    <w:basedOn w:val="Style_11"/>
    <w:tblPr>
      <w:tblInd w:type="dxa" w:w="0"/>
      <w:tblBorders>
        <w:top w:color="000000" w:sz="18" w:val="single"/>
        <w:left w:color="000000" w:sz="18" w:val="single"/>
        <w:bottom w:color="000000" w:sz="18" w:val="single"/>
        <w:right w:color="000000" w:sz="18" w:val="single"/>
        <w:insideH w:color="C0C0C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8" w:type="table">
    <w:name w:val="Table Web 2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89" w:type="table">
    <w:name w:val="Сетка таблицы 21"/>
    <w:basedOn w:val="Style_11"/>
    <w:tblPr>
      <w:tblInd w:type="dxa" w:w="0"/>
      <w:tblBorders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90" w:type="table">
    <w:name w:val="Сетка таблицы 31"/>
    <w:basedOn w:val="Style_11"/>
    <w:tblPr>
      <w:tblInd w:type="dxa" w:w="0"/>
      <w:tblBorders>
        <w:top w:color="000000" w:sz="6" w:val="single"/>
        <w:left w:color="000000" w:sz="12" w:val="single"/>
        <w:bottom w:color="000000" w:sz="6" w:val="single"/>
        <w:right w:color="000000" w:sz="12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91" w:type="table">
    <w:name w:val="Table Colorful 3"/>
    <w:basedOn w:val="Style_11"/>
    <w:tblPr>
      <w:tblInd w:type="dxa" w:w="0"/>
      <w:tblBorders>
        <w:top w:color="000000" w:sz="18" w:val="single"/>
        <w:left w:color="000000" w:sz="18" w:val="single"/>
        <w:bottom w:color="000000" w:sz="18" w:val="single"/>
        <w:right w:color="000000" w:sz="18" w:val="single"/>
        <w:insideH w:color="C0C0C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92" w:type="table">
    <w:name w:val="Table Subtle 1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93" w:type="table">
    <w:name w:val="Сетка таблицы1"/>
    <w:basedOn w:val="Style_11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94" w:type="table">
    <w:name w:val="Table List 2"/>
    <w:basedOn w:val="Style_11"/>
    <w:tblPr>
      <w:tblInd w:type="dxa" w:w="0"/>
      <w:tblBorders>
        <w:bottom w:color="80808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95" w:type="table">
    <w:name w:val="Столбцы таблицы 51"/>
    <w:basedOn w:val="Style_11"/>
    <w:tblPr>
      <w:tblInd w:type="dxa" w:w="0"/>
      <w:tblBorders>
        <w:top w:color="808080" w:sz="12" w:val="single"/>
        <w:left w:color="808080" w:sz="12" w:val="single"/>
        <w:bottom w:color="808080" w:sz="12" w:val="single"/>
        <w:right w:color="808080" w:sz="12" w:val="single"/>
        <w:insideV w:color="C0C0C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96" w:type="table">
    <w:name w:val="Table List 6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97" w:type="table">
    <w:name w:val="Table List 4"/>
    <w:basedOn w:val="Style_11"/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  <w:insideH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98" w:type="table">
    <w:name w:val="Сетка таблицы 51"/>
    <w:basedOn w:val="Style_11"/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299" w:type="table">
    <w:name w:val="Table List 1"/>
    <w:basedOn w:val="Style_11"/>
    <w:tblPr>
      <w:tblInd w:type="dxa" w:w="0"/>
      <w:tblBorders>
        <w:top w:color="008080" w:sz="12" w:val="single"/>
        <w:left w:color="008080" w:sz="6" w:val="single"/>
        <w:bottom w:color="008080" w:sz="12" w:val="single"/>
        <w:right w:color="00808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00" w:type="table">
    <w:name w:val="Table Web 1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01" w:type="table">
    <w:name w:val="Современная таблица1"/>
    <w:basedOn w:val="Style_11"/>
    <w:tblPr>
      <w:tblInd w:type="dxa" w:w="0"/>
      <w:tblBorders>
        <w:insideH w:color="FFFFFF" w:sz="18" w:val="single"/>
        <w:insideV w:color="FFFFFF" w:sz="18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02" w:type="table">
    <w:name w:val="Table 3D effects 1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03" w:type="table">
    <w:name w:val="Table Professional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04" w:type="table">
    <w:name w:val="Веб-таблица 21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05" w:type="table">
    <w:name w:val="Столбцы таблицы 41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06" w:type="table">
    <w:name w:val="Таблица-список 71"/>
    <w:basedOn w:val="Style_11"/>
    <w:tblPr>
      <w:tblInd w:type="dxa" w:w="0"/>
      <w:tblBorders>
        <w:top w:color="008000" w:sz="12" w:val="single"/>
        <w:left w:color="008000" w:sz="6" w:val="single"/>
        <w:bottom w:color="008000" w:sz="12" w:val="single"/>
        <w:right w:color="008000" w:sz="6" w:val="single"/>
        <w:insideH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07" w:type="table">
    <w:name w:val="Table Grid 8"/>
    <w:basedOn w:val="Style_11"/>
    <w:tblPr>
      <w:tblInd w:type="dxa" w:w="0"/>
      <w:tblBorders>
        <w:top w:color="000080" w:sz="6" w:val="single"/>
        <w:left w:color="000080" w:sz="6" w:val="single"/>
        <w:bottom w:color="000080" w:sz="6" w:val="single"/>
        <w:right w:color="000080" w:sz="6" w:val="single"/>
        <w:insideH w:color="000080" w:sz="6" w:val="single"/>
        <w:insideV w:color="00008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08" w:type="table">
    <w:name w:val="Сетка таблицы 61"/>
    <w:basedOn w:val="Style_11"/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09" w:type="table">
    <w:name w:val="Table Simple 2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10" w:type="table">
    <w:name w:val="Цветная таблица 11"/>
    <w:basedOn w:val="Style_11"/>
    <w:rPr>
      <w:color w:val="FFFFFF"/>
    </w:rPr>
    <w:tblPr>
      <w:tblInd w:type="dxa" w:w="0"/>
      <w:tblBorders>
        <w:top w:color="008080" w:sz="12" w:val="single"/>
        <w:left w:color="008080" w:sz="12" w:val="single"/>
        <w:bottom w:color="008080" w:sz="12" w:val="single"/>
        <w:right w:color="008080" w:sz="12" w:val="single"/>
        <w:insideH w:color="00FFFF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11" w:type="table">
    <w:name w:val="Table Columns 4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12" w:type="table">
    <w:name w:val="Цветная таблица 21"/>
    <w:basedOn w:val="Style_11"/>
    <w:tblPr>
      <w:tblInd w:type="dxa" w:w="0"/>
      <w:tblBorders>
        <w:bottom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13" w:type="table">
    <w:name w:val="Изысканная таблица1"/>
    <w:basedOn w:val="Style_11"/>
    <w:tblPr>
      <w:tblInd w:type="dxa" w:w="0"/>
      <w:tblBorders>
        <w:top w:color="000000" w:sz="6" w:val="double"/>
        <w:left w:color="000000" w:sz="6" w:val="double"/>
        <w:bottom w:color="000000" w:sz="6" w:val="double"/>
        <w:right w:color="000000" w:sz="6" w:val="doub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14" w:type="table">
    <w:name w:val="Table Columns 5"/>
    <w:basedOn w:val="Style_11"/>
    <w:tblPr>
      <w:tblInd w:type="dxa" w:w="0"/>
      <w:tblBorders>
        <w:top w:color="808080" w:sz="12" w:val="single"/>
        <w:left w:color="808080" w:sz="12" w:val="single"/>
        <w:bottom w:color="808080" w:sz="12" w:val="single"/>
        <w:right w:color="808080" w:sz="12" w:val="single"/>
        <w:insideV w:color="C0C0C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15" w:type="table">
    <w:name w:val="Table Colorful 2"/>
    <w:basedOn w:val="Style_11"/>
    <w:tblPr>
      <w:tblInd w:type="dxa" w:w="0"/>
      <w:tblBorders>
        <w:bottom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16" w:type="table">
    <w:name w:val="Table Theme"/>
    <w:basedOn w:val="Style_11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17" w:type="table">
    <w:name w:val="Table Grid 2"/>
    <w:basedOn w:val="Style_11"/>
    <w:tblPr>
      <w:tblInd w:type="dxa" w:w="0"/>
      <w:tblBorders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18" w:type="table">
    <w:name w:val="Изящная таблица 11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19" w:type="table">
    <w:name w:val="Таблица-список 11"/>
    <w:basedOn w:val="Style_11"/>
    <w:tblPr>
      <w:tblInd w:type="dxa" w:w="0"/>
      <w:tblBorders>
        <w:top w:color="008080" w:sz="12" w:val="single"/>
        <w:left w:color="008080" w:sz="6" w:val="single"/>
        <w:bottom w:color="008080" w:sz="12" w:val="single"/>
        <w:right w:color="00808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20" w:type="table">
    <w:name w:val="Простая таблица 31"/>
    <w:basedOn w:val="Style_11"/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21" w:type="table">
    <w:name w:val="Таблица-список 21"/>
    <w:basedOn w:val="Style_11"/>
    <w:tblPr>
      <w:tblInd w:type="dxa" w:w="0"/>
      <w:tblBorders>
        <w:bottom w:color="80808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22" w:type="table">
    <w:name w:val="Веб-таблица 11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23" w:type="table">
    <w:name w:val="Table Grid 6"/>
    <w:basedOn w:val="Style_11"/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24" w:type="table">
    <w:name w:val="Тема таблицы1"/>
    <w:basedOn w:val="Style_11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25" w:type="table">
    <w:name w:val="Классическая таблица 41"/>
    <w:basedOn w:val="Style_11"/>
    <w:tblPr>
      <w:tblInd w:type="dxa" w:w="0"/>
      <w:tblBorders>
        <w:top w:color="000000" w:sz="12" w:val="single"/>
        <w:left w:color="000000" w:sz="6" w:val="single"/>
        <w:bottom w:color="000000" w:sz="12" w:val="single"/>
        <w:right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26" w:type="table">
    <w:name w:val="Table Grid 7"/>
    <w:basedOn w:val="Style_11"/>
    <w:rPr>
      <w:b w:val="1"/>
    </w:rPr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27" w:type="table">
    <w:name w:val="Объемная таблица 21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28" w:type="table">
    <w:name w:val="Table Columns 1"/>
    <w:basedOn w:val="Style_11"/>
    <w:rPr>
      <w:b w:val="1"/>
    </w:rPr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29" w:type="table">
    <w:name w:val="Изящная таблица 21"/>
    <w:basedOn w:val="Style_11"/>
    <w:tblPr>
      <w:tblInd w:type="dxa" w:w="0"/>
      <w:tblBorders>
        <w:left w:color="000000" w:sz="6" w:val="single"/>
        <w:right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30" w:type="table">
    <w:name w:val="Table Grid"/>
    <w:basedOn w:val="Style_11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31" w:type="table">
    <w:name w:val="Medium Shading 2 Accent 5"/>
    <w:basedOn w:val="Style_11"/>
    <w:rPr>
      <w:rFonts w:ascii="Calibri" w:hAnsi="Calibri"/>
      <w:sz w:val="22"/>
    </w:rPr>
    <w:tblPr>
      <w:tblInd w:type="dxa" w:w="0"/>
      <w:tblBorders>
        <w:top w:color="000000" w:sz="18" w:val="single"/>
        <w:bottom w:color="000000" w:sz="18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32" w:type="table">
    <w:name w:val="Сетка таблицы 11"/>
    <w:basedOn w:val="Style_11"/>
    <w:tblPr>
      <w:tblInd w:type="dxa" w:w="0"/>
      <w:tblBorders>
        <w:top w:color="000000" w:sz="6" w:val="single"/>
        <w:left w:color="000000" w:sz="6" w:val="single"/>
        <w:bottom w:color="000000" w:sz="6" w:val="single"/>
        <w:right w:color="000000" w:sz="6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33" w:type="table">
    <w:name w:val="Table Grid 3"/>
    <w:basedOn w:val="Style_11"/>
    <w:tblPr>
      <w:tblInd w:type="dxa" w:w="0"/>
      <w:tblBorders>
        <w:top w:color="000000" w:sz="6" w:val="single"/>
        <w:left w:color="000000" w:sz="12" w:val="single"/>
        <w:bottom w:color="000000" w:sz="6" w:val="single"/>
        <w:right w:color="000000" w:sz="12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34" w:type="table">
    <w:name w:val="Веб-таблица 31"/>
    <w:basedOn w:val="Style_11"/>
    <w:tblPr>
      <w:tblInd w:type="dxa" w:w="0"/>
      <w:tblBorders>
        <w:top w:color="000000" w:sz="24" w:val="single"/>
        <w:left w:color="000000" w:sz="24" w:val="single"/>
        <w:bottom w:color="000000" w:sz="24" w:val="single"/>
        <w:right w:color="000000" w:sz="24" w:val="single"/>
        <w:insideH w:color="000000" w:sz="6" w:val="single"/>
        <w:insideV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35" w:type="table">
    <w:name w:val="Table Contemporary"/>
    <w:basedOn w:val="Style_11"/>
    <w:tblPr>
      <w:tblInd w:type="dxa" w:w="0"/>
      <w:tblBorders>
        <w:insideH w:color="FFFFFF" w:sz="18" w:val="single"/>
        <w:insideV w:color="FFFFFF" w:sz="18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36" w:type="table">
    <w:name w:val="Столбцы таблицы 31"/>
    <w:basedOn w:val="Style_11"/>
    <w:rPr>
      <w:b w:val="1"/>
    </w:rPr>
    <w:tblPr>
      <w:tblInd w:type="dxa" w:w="0"/>
      <w:tblBorders>
        <w:top w:color="000080" w:sz="6" w:val="single"/>
        <w:left w:color="000080" w:sz="6" w:val="single"/>
        <w:bottom w:color="000080" w:sz="6" w:val="single"/>
        <w:right w:color="000080" w:sz="6" w:val="single"/>
        <w:insideV w:color="00008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37" w:type="table">
    <w:name w:val="Простая таблица 21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38" w:type="table">
    <w:name w:val="Классическая таблица 31"/>
    <w:basedOn w:val="Style_11"/>
    <w:rPr>
      <w:color w:val="000080"/>
    </w:rPr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39" w:type="table">
    <w:name w:val="Table 3D effects 3"/>
    <w:basedOn w:val="Style_11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40" w:type="table">
    <w:name w:val="Table Simple 3"/>
    <w:basedOn w:val="Style_11"/>
    <w:tblPr>
      <w:tblInd w:type="dxa" w:w="0"/>
      <w:tblBorders>
        <w:top w:color="000000" w:sz="12" w:val="single"/>
        <w:left w:color="000000" w:sz="12" w:val="single"/>
        <w:bottom w:color="000000" w:sz="12" w:val="single"/>
        <w:right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41" w:type="table">
    <w:name w:val="Table Simple 1"/>
    <w:basedOn w:val="Style_11"/>
    <w:tblPr>
      <w:tblInd w:type="dxa" w:w="0"/>
      <w:tblBorders>
        <w:top w:color="008000" w:sz="12" w:val="single"/>
        <w:bottom w:color="008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42" w:type="table">
    <w:name w:val="Сетка таблицы 81"/>
    <w:basedOn w:val="Style_11"/>
    <w:tblPr>
      <w:tblInd w:type="dxa" w:w="0"/>
      <w:tblBorders>
        <w:top w:color="000080" w:sz="6" w:val="single"/>
        <w:left w:color="000080" w:sz="6" w:val="single"/>
        <w:bottom w:color="000080" w:sz="6" w:val="single"/>
        <w:right w:color="000080" w:sz="6" w:val="single"/>
        <w:insideH w:color="000080" w:sz="6" w:val="single"/>
        <w:insideV w:color="00008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43" w:type="table">
    <w:name w:val="Table Classic 2"/>
    <w:basedOn w:val="Style_11"/>
    <w:tblPr>
      <w:tblInd w:type="dxa" w:w="0"/>
      <w:tblBorders>
        <w:top w:color="000000" w:sz="12" w:val="single"/>
        <w:bottom w:color="000000" w:sz="12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44" w:type="table">
    <w:name w:val="Table Subtle 2"/>
    <w:basedOn w:val="Style_11"/>
    <w:tblPr>
      <w:tblInd w:type="dxa" w:w="0"/>
      <w:tblBorders>
        <w:left w:color="000000" w:sz="6" w:val="single"/>
        <w:right w:color="00000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45" w:type="table">
    <w:name w:val="Table Columns 3"/>
    <w:basedOn w:val="Style_11"/>
    <w:rPr>
      <w:b w:val="1"/>
    </w:rPr>
    <w:tblPr>
      <w:tblInd w:type="dxa" w:w="0"/>
      <w:tblBorders>
        <w:top w:color="000080" w:sz="6" w:val="single"/>
        <w:left w:color="000080" w:sz="6" w:val="single"/>
        <w:bottom w:color="000080" w:sz="6" w:val="single"/>
        <w:right w:color="000080" w:sz="6" w:val="single"/>
        <w:insideV w:color="000080" w:sz="6" w:val="single"/>
      </w:tblBorders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3" Target="stylesWithEffects.xml" Type="http://schemas.microsoft.com/office/2007/relationships/stylesWithEffects"/>
  <Relationship Id="rId11" Target="settings.xml" Type="http://schemas.openxmlformats.org/officeDocument/2006/relationships/settings"/>
  <Relationship Id="rId10" Target="fontTable.xml" Type="http://schemas.openxmlformats.org/officeDocument/2006/relationships/fontTable"/>
  <Relationship Id="rId15" Target="theme/theme1.xml" Type="http://schemas.openxmlformats.org/officeDocument/2006/relationships/theme"/>
  <Relationship Id="rId9" Target="media/1.jpeg" Type="http://schemas.openxmlformats.org/officeDocument/2006/relationships/image"/>
  <Relationship Id="rId8" Target="footer8.xml" Type="http://schemas.openxmlformats.org/officeDocument/2006/relationships/footer"/>
  <Relationship Id="rId7" Target="header7.xml" Type="http://schemas.openxmlformats.org/officeDocument/2006/relationships/header"/>
  <Relationship Id="rId14" Target="webSettings.xml" Type="http://schemas.openxmlformats.org/officeDocument/2006/relationships/webSettings"/>
  <Relationship Id="rId6" Target="footer6.xml" Type="http://schemas.openxmlformats.org/officeDocument/2006/relationships/footer"/>
  <Relationship Id="rId5" Target="header5.xml" Type="http://schemas.openxmlformats.org/officeDocument/2006/relationships/header"/>
  <Relationship Id="rId16" Target="numbering.xml" Type="http://schemas.openxmlformats.org/officeDocument/2006/relationships/numbering"/>
  <Relationship Id="rId4" Target="footer4.xml" Type="http://schemas.openxmlformats.org/officeDocument/2006/relationships/footer"/>
  <Relationship Id="rId12" Target="styles.xml" Type="http://schemas.openxmlformats.org/officeDocument/2006/relationships/styles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MyOffice-CoreFramework-Windows/29-1028.734.7326.662.0@DESKTOP-CASSIOPEIA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2025-03-20T05:20:07Z</dcterms:modified>
</cp:coreProperties>
</file>