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pStyle w:val="Style_2"/>
        <w:widowControl w:val="1"/>
        <w:ind w:firstLine="708" w:left="0"/>
        <w:jc w:val="right"/>
        <w:outlineLvl w:val="1"/>
        <w:rPr>
          <w:rFonts w:ascii="Times New Roman" w:hAnsi="Times New Roman"/>
          <w:b w:val="0"/>
          <w:sz w:val="28"/>
        </w:rPr>
      </w:pPr>
    </w:p>
    <w:p w14:paraId="07000000">
      <w:pPr>
        <w:pStyle w:val="Style_2"/>
        <w:widowControl w:val="1"/>
        <w:ind w:firstLine="708" w:left="0"/>
        <w:jc w:val="right"/>
        <w:outlineLvl w:val="1"/>
        <w:rPr>
          <w:rFonts w:ascii="Times New Roman" w:hAnsi="Times New Roman"/>
          <w:b w:val="0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  <w:u w:val="single"/>
        </w:rPr>
      </w:pPr>
      <w:r>
        <w:rPr>
          <w:rFonts w:ascii="Times New Roman" w:hAnsi="Times New Roman"/>
          <w:b w:val="1"/>
          <w:sz w:val="28"/>
          <w:u w:val="single"/>
        </w:rPr>
        <w:t>СОВЕТ  ПОЛТАВСКОГО</w:t>
      </w:r>
      <w:r>
        <w:rPr>
          <w:rFonts w:ascii="Times New Roman" w:hAnsi="Times New Roman"/>
          <w:b w:val="1"/>
          <w:sz w:val="28"/>
          <w:u w:val="single"/>
        </w:rPr>
        <w:t xml:space="preserve">  МУНИЦИПАЛЬНОГО  РАЙОНА  ОМСКОЙ  ОБЛАСТИ</w:t>
      </w:r>
    </w:p>
    <w:p w14:paraId="09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29 ноября 2023 года                                                                                           № 84</w:t>
      </w:r>
      <w:r>
        <w:rPr>
          <w:rFonts w:ascii="Times New Roman" w:hAnsi="Times New Roman"/>
          <w:sz w:val="28"/>
        </w:rPr>
        <w:t xml:space="preserve"> </w:t>
      </w:r>
    </w:p>
    <w:p w14:paraId="0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D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0E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утверждении Генерального </w:t>
      </w:r>
    </w:p>
    <w:p w14:paraId="0F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плана </w:t>
      </w:r>
      <w:r>
        <w:rPr>
          <w:rFonts w:ascii="Times New Roman" w:hAnsi="Times New Roman"/>
          <w:sz w:val="28"/>
        </w:rPr>
        <w:t>Ворошиловского</w:t>
      </w:r>
      <w:r>
        <w:rPr>
          <w:rFonts w:ascii="Times New Roman" w:hAnsi="Times New Roman"/>
          <w:sz w:val="28"/>
        </w:rPr>
        <w:t xml:space="preserve"> сельского</w:t>
      </w:r>
    </w:p>
    <w:p w14:paraId="10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поселения Полтавского </w:t>
      </w:r>
    </w:p>
    <w:p w14:paraId="11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муниципального района</w:t>
      </w:r>
    </w:p>
    <w:p w14:paraId="12000000">
      <w:pPr>
        <w:tabs>
          <w:tab w:leader="none" w:pos="2820" w:val="lef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Омской области </w:t>
      </w:r>
    </w:p>
    <w:p w14:paraId="13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4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Руководствуясь Федеральным законом от 06.10.2003 г. № 131-ФЗ «Об общих принципах организации местного самоуправления в Российской Федерации», Градостроительным Кодексом Российской Федерации, Уставом Полтавского муни</w:t>
      </w:r>
      <w:r>
        <w:rPr>
          <w:rFonts w:ascii="Times New Roman" w:hAnsi="Times New Roman"/>
          <w:sz w:val="28"/>
        </w:rPr>
        <w:t xml:space="preserve">ципального района Омской области, Совет Полтавского муниципального района Омской области </w:t>
      </w:r>
    </w:p>
    <w:p w14:paraId="16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РЕШИЛ: 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9000000">
      <w:pPr>
        <w:tabs>
          <w:tab w:leader="none" w:pos="282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 xml:space="preserve">Утвердить Генеральный план </w:t>
      </w:r>
      <w:r>
        <w:rPr>
          <w:rFonts w:ascii="Times New Roman" w:hAnsi="Times New Roman"/>
          <w:sz w:val="28"/>
        </w:rPr>
        <w:t>Ворошиловского</w:t>
      </w:r>
      <w:r>
        <w:rPr>
          <w:rFonts w:ascii="Times New Roman" w:hAnsi="Times New Roman"/>
          <w:sz w:val="28"/>
        </w:rPr>
        <w:t xml:space="preserve"> сельского поселения Полтавского муниципального района Омской области согласно </w:t>
      </w:r>
      <w:r>
        <w:rPr>
          <w:rFonts w:ascii="Times New Roman" w:hAnsi="Times New Roman"/>
          <w:sz w:val="28"/>
        </w:rPr>
        <w:t>приложениям</w:t>
      </w:r>
      <w:r>
        <w:rPr>
          <w:rFonts w:ascii="Times New Roman" w:hAnsi="Times New Roman"/>
          <w:sz w:val="28"/>
        </w:rPr>
        <w:t xml:space="preserve"> к настоящему решению.</w:t>
      </w:r>
    </w:p>
    <w:p w14:paraId="1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решение опубликовать (обнародовать).</w:t>
      </w:r>
    </w:p>
    <w:p w14:paraId="1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1C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Совета Полтавского</w:t>
      </w:r>
    </w:p>
    <w:p w14:paraId="1E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района                                                                В.И. </w:t>
      </w:r>
      <w:r>
        <w:rPr>
          <w:rFonts w:ascii="Times New Roman" w:hAnsi="Times New Roman"/>
          <w:sz w:val="28"/>
        </w:rPr>
        <w:t>Бондарюк</w:t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2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100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2200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2300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24000000">
      <w:pPr>
        <w:spacing w:after="0" w:line="240" w:lineRule="auto"/>
        <w:ind w:firstLine="425" w:left="0"/>
        <w:jc w:val="both"/>
        <w:rPr>
          <w:rFonts w:ascii="Times New Roman" w:hAnsi="Times New Roman"/>
          <w:b w:val="1"/>
          <w:sz w:val="28"/>
        </w:rPr>
      </w:pPr>
    </w:p>
    <w:p w14:paraId="25000000">
      <w:pPr>
        <w:sectPr>
          <w:footerReference r:id="rId1" w:type="default"/>
          <w:pgSz w:h="16838" w:orient="portrait" w:w="11906"/>
          <w:pgMar w:bottom="1134" w:footer="851" w:gutter="0" w:header="851" w:left="1134" w:right="567" w:top="1134"/>
          <w:pgNumType w:start="3"/>
        </w:sectPr>
      </w:pPr>
    </w:p>
    <w:p w14:paraId="26000000">
      <w:pPr>
        <w:spacing w:after="240" w:before="120" w:line="240" w:lineRule="auto"/>
        <w:ind w:firstLine="425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1 </w:t>
      </w:r>
      <w:r>
        <w:rPr>
          <w:rFonts w:ascii="Times New Roman" w:hAnsi="Times New Roman"/>
          <w:b w:val="1"/>
          <w:sz w:val="24"/>
        </w:rPr>
        <w:t>Cведения</w:t>
      </w:r>
      <w:r>
        <w:rPr>
          <w:rFonts w:ascii="Times New Roman" w:hAnsi="Times New Roman"/>
          <w:b w:val="1"/>
          <w:sz w:val="24"/>
        </w:rPr>
        <w:t xml:space="preserve">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</w:t>
      </w:r>
      <w:r>
        <w:rPr>
          <w:rFonts w:ascii="Times New Roman" w:hAnsi="Times New Roman"/>
          <w:b w:val="1"/>
          <w:sz w:val="24"/>
        </w:rPr>
        <w:t>в случае, если установление таких зон требуется в связи с размещением данных объектов</w:t>
      </w:r>
    </w:p>
    <w:p w14:paraId="27000000">
      <w:pPr>
        <w:spacing w:after="120" w:before="120" w:line="240" w:lineRule="auto"/>
        <w:ind w:firstLine="425" w:left="0" w:right="-450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1</w:t>
      </w:r>
    </w:p>
    <w:p w14:paraId="28000000"/>
    <w:tbl>
      <w:tblPr>
        <w:tblStyle w:val="Style_3"/>
        <w:tblLayout w:type="fixed"/>
      </w:tblPr>
      <w:tblGrid>
        <w:gridCol w:w="3627"/>
        <w:gridCol w:w="746"/>
        <w:gridCol w:w="1899"/>
        <w:gridCol w:w="3053"/>
        <w:gridCol w:w="2181"/>
        <w:gridCol w:w="1177"/>
        <w:gridCol w:w="1886"/>
      </w:tblGrid>
      <w:tr>
        <w:trPr>
          <w:trHeight w:hRule="atLeast" w:val="1200"/>
        </w:trPr>
        <w:tc>
          <w:tcPr>
            <w:tcW w:type="dxa" w:w="3627"/>
            <w:vAlign w:val="center"/>
          </w:tcPr>
          <w:p w14:paraId="29000000">
            <w:pPr>
              <w:ind w:right="-117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Вид</w:t>
            </w:r>
            <w:r>
              <w:rPr>
                <w:rFonts w:ascii="Times New Roman" w:hAnsi="Times New Roman"/>
                <w:b w:val="1"/>
              </w:rPr>
              <w:t xml:space="preserve"> объекта</w:t>
            </w:r>
          </w:p>
          <w:p w14:paraId="2A000000">
            <w:pPr>
              <w:ind w:right="-117"/>
              <w:jc w:val="center"/>
              <w:rPr>
                <w:rFonts w:ascii="Times New Roman" w:hAnsi="Times New Roman"/>
                <w:b w:val="1"/>
              </w:rPr>
            </w:pPr>
          </w:p>
        </w:tc>
        <w:tc>
          <w:tcPr>
            <w:tcW w:type="dxa" w:w="746"/>
            <w:vAlign w:val="center"/>
          </w:tcPr>
          <w:p w14:paraId="2B000000">
            <w:pPr>
              <w:ind w:firstLine="0" w:left="-99" w:right="-218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№ на карте</w:t>
            </w:r>
          </w:p>
        </w:tc>
        <w:tc>
          <w:tcPr>
            <w:tcW w:type="dxa" w:w="1899"/>
            <w:vAlign w:val="center"/>
          </w:tcPr>
          <w:p w14:paraId="2C000000">
            <w:pPr>
              <w:ind w:firstLine="0" w:left="-99" w:right="-218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Назначение</w:t>
            </w:r>
          </w:p>
          <w:p w14:paraId="2D000000">
            <w:pPr>
              <w:ind w:firstLine="0" w:left="-99" w:right="-218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и наименование</w:t>
            </w:r>
          </w:p>
        </w:tc>
        <w:tc>
          <w:tcPr>
            <w:tcW w:type="dxa" w:w="3053"/>
            <w:vAlign w:val="center"/>
          </w:tcPr>
          <w:p w14:paraId="2E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Местоположение</w:t>
            </w:r>
          </w:p>
        </w:tc>
        <w:tc>
          <w:tcPr>
            <w:tcW w:type="dxa" w:w="2181"/>
            <w:vAlign w:val="center"/>
          </w:tcPr>
          <w:p w14:paraId="2F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Функциональная зона</w:t>
            </w:r>
          </w:p>
        </w:tc>
        <w:tc>
          <w:tcPr>
            <w:tcW w:type="dxa" w:w="1177"/>
            <w:vAlign w:val="center"/>
          </w:tcPr>
          <w:p w14:paraId="30000000">
            <w:pPr>
              <w:ind w:hanging="108" w:left="108" w:right="-108"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Мощность</w:t>
            </w:r>
          </w:p>
        </w:tc>
        <w:tc>
          <w:tcPr>
            <w:tcW w:type="dxa" w:w="1886"/>
            <w:vAlign w:val="center"/>
          </w:tcPr>
          <w:p w14:paraId="31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Характеристики ЗОУИТ (м)</w:t>
            </w:r>
          </w:p>
        </w:tc>
      </w:tr>
      <w:tr>
        <w:trPr>
          <w:trHeight w:hRule="atLeast" w:val="1313"/>
        </w:trPr>
        <w:tc>
          <w:tcPr>
            <w:tcW w:type="dxa" w:w="3627"/>
            <w:vAlign w:val="center"/>
          </w:tcPr>
          <w:p w14:paraId="3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в области физической культуры и спорта</w:t>
            </w:r>
          </w:p>
        </w:tc>
        <w:tc>
          <w:tcPr>
            <w:tcW w:type="dxa" w:w="746"/>
            <w:vAlign w:val="center"/>
          </w:tcPr>
          <w:p w14:paraId="33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type="dxa" w:w="1899"/>
            <w:vAlign w:val="center"/>
          </w:tcPr>
          <w:p w14:paraId="34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Плоскостные спортивные сооружения (спортивная площадка)</w:t>
            </w:r>
          </w:p>
        </w:tc>
        <w:tc>
          <w:tcPr>
            <w:tcW w:type="dxa" w:w="3053"/>
            <w:vAlign w:val="center"/>
          </w:tcPr>
          <w:p w14:paraId="3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Омская область, Полтавский район, Ворошиловское сельское поселение, поселок </w:t>
            </w:r>
            <w:r>
              <w:rPr>
                <w:rFonts w:ascii="Times New Roman" w:hAnsi="Times New Roman"/>
              </w:rPr>
              <w:t>Бельдеж</w:t>
            </w:r>
            <w:r>
              <w:rPr>
                <w:rFonts w:ascii="Times New Roman" w:hAnsi="Times New Roman"/>
              </w:rPr>
              <w:t xml:space="preserve"> №12</w:t>
            </w:r>
          </w:p>
        </w:tc>
        <w:tc>
          <w:tcPr>
            <w:tcW w:type="dxa" w:w="2181"/>
            <w:vAlign w:val="center"/>
          </w:tcPr>
          <w:p w14:paraId="36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специализированной общественной застройки</w:t>
            </w:r>
          </w:p>
        </w:tc>
        <w:tc>
          <w:tcPr>
            <w:tcW w:type="dxa" w:w="1177"/>
            <w:vAlign w:val="center"/>
          </w:tcPr>
          <w:p w14:paraId="3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1886"/>
            <w:vAlign w:val="center"/>
          </w:tcPr>
          <w:p w14:paraId="38000000">
            <w:pPr>
              <w:ind/>
              <w:jc w:val="center"/>
              <w:rPr>
                <w:rFonts w:ascii="Times New Roman" w:hAnsi="Times New Roman"/>
              </w:rPr>
            </w:pPr>
          </w:p>
          <w:p w14:paraId="3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3A000000">
            <w:pPr>
              <w:ind/>
              <w:jc w:val="center"/>
              <w:rPr>
                <w:rFonts w:ascii="Times New Roman" w:hAnsi="Times New Roman"/>
              </w:rPr>
            </w:pPr>
          </w:p>
          <w:p w14:paraId="3B00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1313"/>
        </w:trPr>
        <w:tc>
          <w:tcPr>
            <w:tcW w:type="dxa" w:w="3627"/>
            <w:vAlign w:val="center"/>
          </w:tcPr>
          <w:p w14:paraId="3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в области физической культуры и спорта</w:t>
            </w:r>
          </w:p>
        </w:tc>
        <w:tc>
          <w:tcPr>
            <w:tcW w:type="dxa" w:w="746"/>
            <w:vAlign w:val="center"/>
          </w:tcPr>
          <w:p w14:paraId="3D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type="dxa" w:w="1899"/>
            <w:vAlign w:val="center"/>
          </w:tcPr>
          <w:p w14:paraId="3E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Плоскостные спортивные сооружения (хоккейная площадка)</w:t>
            </w:r>
          </w:p>
        </w:tc>
        <w:tc>
          <w:tcPr>
            <w:tcW w:type="dxa" w:w="3053"/>
            <w:vAlign w:val="center"/>
          </w:tcPr>
          <w:p w14:paraId="3F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Омская область, Полтавский район, Ворошиловское сельское поселение, деревня </w:t>
            </w:r>
            <w:r>
              <w:rPr>
                <w:rFonts w:ascii="Times New Roman" w:hAnsi="Times New Roman"/>
              </w:rPr>
              <w:t>Краснопутиловка</w:t>
            </w:r>
          </w:p>
        </w:tc>
        <w:tc>
          <w:tcPr>
            <w:tcW w:type="dxa" w:w="2181"/>
            <w:vAlign w:val="center"/>
          </w:tcPr>
          <w:p w14:paraId="40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специализированной общественной застройки</w:t>
            </w:r>
          </w:p>
        </w:tc>
        <w:tc>
          <w:tcPr>
            <w:tcW w:type="dxa" w:w="1177"/>
            <w:vAlign w:val="center"/>
          </w:tcPr>
          <w:p w14:paraId="4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1886"/>
            <w:vAlign w:val="center"/>
          </w:tcPr>
          <w:p w14:paraId="42000000">
            <w:pPr>
              <w:ind/>
              <w:jc w:val="center"/>
              <w:rPr>
                <w:rFonts w:ascii="Times New Roman" w:hAnsi="Times New Roman"/>
              </w:rPr>
            </w:pPr>
          </w:p>
          <w:p w14:paraId="43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44000000">
            <w:pPr>
              <w:ind/>
              <w:jc w:val="center"/>
              <w:rPr>
                <w:rFonts w:ascii="Times New Roman" w:hAnsi="Times New Roman"/>
              </w:rPr>
            </w:pPr>
          </w:p>
          <w:p w14:paraId="4500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1313"/>
        </w:trPr>
        <w:tc>
          <w:tcPr>
            <w:tcW w:type="dxa" w:w="3627"/>
            <w:vAlign w:val="center"/>
          </w:tcPr>
          <w:p w14:paraId="4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в области физической культуры и спорта</w:t>
            </w:r>
          </w:p>
        </w:tc>
        <w:tc>
          <w:tcPr>
            <w:tcW w:type="dxa" w:w="746"/>
            <w:vAlign w:val="center"/>
          </w:tcPr>
          <w:p w14:paraId="47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type="dxa" w:w="1899"/>
            <w:vAlign w:val="center"/>
          </w:tcPr>
          <w:p w14:paraId="48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Плоскостные спортивные сооружения (конный манеж)</w:t>
            </w:r>
          </w:p>
        </w:tc>
        <w:tc>
          <w:tcPr>
            <w:tcW w:type="dxa" w:w="3053"/>
            <w:vAlign w:val="center"/>
          </w:tcPr>
          <w:p w14:paraId="4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Омская область, Полтавский район, Ворошиловское, деревня Новосергеевка</w:t>
            </w:r>
          </w:p>
        </w:tc>
        <w:tc>
          <w:tcPr>
            <w:tcW w:type="dxa" w:w="2181"/>
            <w:vAlign w:val="center"/>
          </w:tcPr>
          <w:p w14:paraId="4A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специализированной общественной застройки</w:t>
            </w:r>
          </w:p>
        </w:tc>
        <w:tc>
          <w:tcPr>
            <w:tcW w:type="dxa" w:w="1177"/>
            <w:vAlign w:val="center"/>
          </w:tcPr>
          <w:p w14:paraId="4B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2500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1886"/>
            <w:vAlign w:val="center"/>
          </w:tcPr>
          <w:p w14:paraId="4C000000">
            <w:pPr>
              <w:ind/>
              <w:jc w:val="center"/>
              <w:rPr>
                <w:rFonts w:ascii="Times New Roman" w:hAnsi="Times New Roman"/>
              </w:rPr>
            </w:pPr>
          </w:p>
          <w:p w14:paraId="4D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4E000000">
            <w:pPr>
              <w:ind/>
              <w:jc w:val="center"/>
              <w:rPr>
                <w:rFonts w:ascii="Times New Roman" w:hAnsi="Times New Roman"/>
              </w:rPr>
            </w:pPr>
          </w:p>
          <w:p w14:paraId="4F00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1313"/>
        </w:trPr>
        <w:tc>
          <w:tcPr>
            <w:tcW w:type="dxa" w:w="3627"/>
            <w:vAlign w:val="center"/>
          </w:tcPr>
          <w:p w14:paraId="5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в области физической культуры и спорта</w:t>
            </w:r>
          </w:p>
        </w:tc>
        <w:tc>
          <w:tcPr>
            <w:tcW w:type="dxa" w:w="746"/>
            <w:vAlign w:val="center"/>
          </w:tcPr>
          <w:p w14:paraId="51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type="dxa" w:w="1899"/>
            <w:vAlign w:val="center"/>
          </w:tcPr>
          <w:p w14:paraId="52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Плоскостные спортивные сооружения (спортивная площадка)</w:t>
            </w:r>
          </w:p>
        </w:tc>
        <w:tc>
          <w:tcPr>
            <w:tcW w:type="dxa" w:w="3053"/>
            <w:vAlign w:val="center"/>
          </w:tcPr>
          <w:p w14:paraId="53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Омская область, Полтавский район, Ворошиловское, деревня Новосергеевка</w:t>
            </w:r>
          </w:p>
        </w:tc>
        <w:tc>
          <w:tcPr>
            <w:tcW w:type="dxa" w:w="2181"/>
            <w:vAlign w:val="center"/>
          </w:tcPr>
          <w:p w14:paraId="54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специализированной общественной застройки</w:t>
            </w:r>
          </w:p>
        </w:tc>
        <w:tc>
          <w:tcPr>
            <w:tcW w:type="dxa" w:w="1177"/>
            <w:vAlign w:val="center"/>
          </w:tcPr>
          <w:p w14:paraId="5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300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1886"/>
            <w:vAlign w:val="center"/>
          </w:tcPr>
          <w:p w14:paraId="56000000">
            <w:pPr>
              <w:ind/>
              <w:jc w:val="center"/>
              <w:rPr>
                <w:rFonts w:ascii="Times New Roman" w:hAnsi="Times New Roman"/>
              </w:rPr>
            </w:pPr>
          </w:p>
          <w:p w14:paraId="5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58000000">
            <w:pPr>
              <w:ind/>
              <w:jc w:val="center"/>
              <w:rPr>
                <w:rFonts w:ascii="Times New Roman" w:hAnsi="Times New Roman"/>
              </w:rPr>
            </w:pPr>
          </w:p>
          <w:p w14:paraId="5900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1313"/>
        </w:trPr>
        <w:tc>
          <w:tcPr>
            <w:tcW w:type="dxa" w:w="3627"/>
            <w:vAlign w:val="center"/>
          </w:tcPr>
          <w:p w14:paraId="5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Объекты в области физической культуры и спорта</w:t>
            </w:r>
          </w:p>
        </w:tc>
        <w:tc>
          <w:tcPr>
            <w:tcW w:type="dxa" w:w="746"/>
            <w:vAlign w:val="center"/>
          </w:tcPr>
          <w:p w14:paraId="5B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type="dxa" w:w="1899"/>
            <w:vAlign w:val="center"/>
          </w:tcPr>
          <w:p w14:paraId="5C000000">
            <w:pPr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Плоскостные спортивные сооружения (спортивная площадка)</w:t>
            </w:r>
          </w:p>
        </w:tc>
        <w:tc>
          <w:tcPr>
            <w:tcW w:type="dxa" w:w="3053"/>
            <w:vAlign w:val="center"/>
          </w:tcPr>
          <w:p w14:paraId="5D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Омская область, Полтавский район, Ворошиловское сельское поселение, поселок </w:t>
            </w:r>
            <w:r>
              <w:rPr>
                <w:rFonts w:ascii="Times New Roman" w:hAnsi="Times New Roman"/>
              </w:rPr>
              <w:t>Бельдеж</w:t>
            </w:r>
            <w:r>
              <w:rPr>
                <w:rFonts w:ascii="Times New Roman" w:hAnsi="Times New Roman"/>
              </w:rPr>
              <w:t xml:space="preserve"> №3</w:t>
            </w:r>
          </w:p>
        </w:tc>
        <w:tc>
          <w:tcPr>
            <w:tcW w:type="dxa" w:w="2181"/>
            <w:vAlign w:val="center"/>
          </w:tcPr>
          <w:p w14:paraId="5E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 специализированной общественной застройки</w:t>
            </w:r>
          </w:p>
        </w:tc>
        <w:tc>
          <w:tcPr>
            <w:tcW w:type="dxa" w:w="1177"/>
            <w:vAlign w:val="center"/>
          </w:tcPr>
          <w:p w14:paraId="5F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200 </w:t>
            </w:r>
            <w:r>
              <w:rPr>
                <w:rFonts w:ascii="Times New Roman" w:hAnsi="Times New Roman"/>
              </w:rPr>
              <w:t>кв.м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type="dxa" w:w="1886"/>
            <w:vAlign w:val="center"/>
          </w:tcPr>
          <w:p w14:paraId="60000000">
            <w:pPr>
              <w:ind/>
              <w:jc w:val="center"/>
              <w:rPr>
                <w:rFonts w:ascii="Times New Roman" w:hAnsi="Times New Roman"/>
              </w:rPr>
            </w:pPr>
          </w:p>
          <w:p w14:paraId="6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62000000">
            <w:pPr>
              <w:ind/>
              <w:jc w:val="center"/>
              <w:rPr>
                <w:rFonts w:ascii="Times New Roman" w:hAnsi="Times New Roman"/>
              </w:rPr>
            </w:pPr>
          </w:p>
          <w:p w14:paraId="63000000">
            <w:pPr>
              <w:ind/>
              <w:jc w:val="center"/>
              <w:rPr>
                <w:rFonts w:ascii="Times New Roman" w:hAnsi="Times New Roman"/>
              </w:rPr>
            </w:pPr>
          </w:p>
        </w:tc>
      </w:tr>
    </w:tbl>
    <w:p w14:paraId="64000000">
      <w:pPr>
        <w:sectPr>
          <w:footerReference r:id="rId4" w:type="default"/>
          <w:pgSz w:h="11906" w:orient="landscape" w:w="16838"/>
          <w:pgMar w:bottom="567" w:footer="851" w:gutter="0" w:header="851" w:left="1134" w:right="1134" w:top="1134"/>
          <w:pgNumType w:start="3"/>
        </w:sectPr>
      </w:pPr>
    </w:p>
    <w:p w14:paraId="65000000">
      <w:pPr>
        <w:spacing w:after="240" w:before="120" w:line="240" w:lineRule="auto"/>
        <w:ind w:firstLine="425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 Параметры функциональных зон, а </w:t>
      </w:r>
      <w:r>
        <w:rPr>
          <w:rFonts w:ascii="Times New Roman" w:hAnsi="Times New Roman"/>
          <w:b w:val="1"/>
          <w:sz w:val="24"/>
        </w:rPr>
        <w:t>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p w14:paraId="66000000">
      <w:pPr>
        <w:widowControl w:val="0"/>
        <w:spacing w:after="120" w:before="240"/>
        <w:ind w:firstLine="709" w:left="0" w:right="-142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2</w:t>
      </w:r>
      <w:r>
        <w:rPr>
          <w:rFonts w:ascii="Times New Roman" w:hAnsi="Times New Roman"/>
          <w:i w:val="1"/>
          <w:sz w:val="24"/>
        </w:rPr>
        <w:t>.1</w:t>
      </w:r>
    </w:p>
    <w:p w14:paraId="67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Параметры функциональных зон, а также сведения о планируемых для размещения в них объектах</w:t>
      </w:r>
    </w:p>
    <w:p w14:paraId="68000000">
      <w:pPr>
        <w:widowControl w:val="0"/>
        <w:spacing w:after="120" w:before="240"/>
        <w:ind w:firstLine="709" w:left="0" w:right="-142"/>
        <w:jc w:val="right"/>
        <w:rPr>
          <w:rFonts w:ascii="Times New Roman" w:hAnsi="Times New Roman"/>
          <w:i w:val="1"/>
          <w:sz w:val="24"/>
        </w:rPr>
      </w:pPr>
    </w:p>
    <w:tbl>
      <w:tblPr>
        <w:tblStyle w:val="Style_4"/>
        <w:tblLayout w:type="fixed"/>
      </w:tblPr>
      <w:tblGrid>
        <w:gridCol w:w="9372"/>
        <w:gridCol w:w="2396"/>
        <w:gridCol w:w="3392"/>
        <w:gridCol w:w="2396"/>
        <w:gridCol w:w="3990"/>
      </w:tblGrid>
      <w:tr>
        <w:tc>
          <w:tcPr>
            <w:tcW w:type="dxa" w:w="9372"/>
            <w:vAlign w:val="center"/>
          </w:tcPr>
          <w:p w14:paraId="69000000">
            <w:pPr>
              <w:pStyle w:val="Style_5"/>
              <w:ind w:firstLine="0" w:left="100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и наименование</w:t>
            </w:r>
          </w:p>
        </w:tc>
        <w:tc>
          <w:tcPr>
            <w:tcW w:type="dxa" w:w="2396"/>
          </w:tcPr>
          <w:p w14:paraId="6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B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Максимально допустимый коэффициент застройки</w:t>
            </w:r>
          </w:p>
        </w:tc>
        <w:tc>
          <w:tcPr>
            <w:tcW w:type="dxa" w:w="3392"/>
          </w:tcPr>
          <w:p w14:paraId="6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D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Максимальная и средняя этажность застройки</w:t>
            </w:r>
          </w:p>
        </w:tc>
        <w:tc>
          <w:tcPr>
            <w:tcW w:type="dxa" w:w="2396"/>
          </w:tcPr>
          <w:p w14:paraId="6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F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площадь зоны, га</w:t>
            </w:r>
          </w:p>
        </w:tc>
        <w:tc>
          <w:tcPr>
            <w:tcW w:type="dxa" w:w="3990"/>
            <w:vAlign w:val="center"/>
          </w:tcPr>
          <w:p w14:paraId="7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ные параметры, характеризующие количественные и качественные особенности функциональной зоны</w:t>
            </w:r>
          </w:p>
        </w:tc>
      </w:tr>
      <w:tr>
        <w:tc>
          <w:tcPr>
            <w:tcW w:type="dxa" w:w="21546"/>
            <w:gridSpan w:val="5"/>
          </w:tcPr>
          <w:p w14:paraId="71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Объекты местного значения поселения</w:t>
            </w:r>
          </w:p>
        </w:tc>
      </w:tr>
      <w:tr>
        <w:tc>
          <w:tcPr>
            <w:tcW w:type="dxa" w:w="21546"/>
            <w:gridSpan w:val="5"/>
          </w:tcPr>
          <w:p w14:paraId="7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специализированной общественной застройки</w:t>
            </w:r>
          </w:p>
        </w:tc>
      </w:tr>
      <w:tr>
        <w:tc>
          <w:tcPr>
            <w:tcW w:type="dxa" w:w="9372"/>
            <w:vAlign w:val="center"/>
          </w:tcPr>
          <w:p w14:paraId="73000000">
            <w:pPr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плоскостного спортивного сооружения (спортивная площадка), п. </w:t>
            </w:r>
            <w:r>
              <w:rPr>
                <w:rFonts w:ascii="Times New Roman" w:hAnsi="Times New Roman"/>
                <w:sz w:val="24"/>
              </w:rPr>
              <w:t>Бельдеж</w:t>
            </w:r>
            <w:r>
              <w:rPr>
                <w:rFonts w:ascii="Times New Roman" w:hAnsi="Times New Roman"/>
                <w:sz w:val="24"/>
              </w:rPr>
              <w:t xml:space="preserve"> № 3</w:t>
            </w:r>
          </w:p>
        </w:tc>
        <w:tc>
          <w:tcPr>
            <w:tcW w:type="dxa" w:w="2396"/>
            <w:vAlign w:val="center"/>
          </w:tcPr>
          <w:p w14:paraId="7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7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7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0,4413</w:t>
            </w:r>
          </w:p>
        </w:tc>
        <w:tc>
          <w:tcPr>
            <w:tcW w:type="dxa" w:w="3990"/>
            <w:vAlign w:val="center"/>
          </w:tcPr>
          <w:p w14:paraId="7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9372"/>
          </w:tcPr>
          <w:p w14:paraId="78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плоскостного спортивного сооружения (спортивная площадка), п. </w:t>
            </w:r>
            <w:r>
              <w:rPr>
                <w:rFonts w:ascii="Times New Roman" w:hAnsi="Times New Roman"/>
                <w:sz w:val="24"/>
              </w:rPr>
              <w:t>Бельдеж</w:t>
            </w:r>
            <w:r>
              <w:rPr>
                <w:rFonts w:ascii="Times New Roman" w:hAnsi="Times New Roman"/>
                <w:sz w:val="24"/>
              </w:rPr>
              <w:t xml:space="preserve"> № 12</w:t>
            </w:r>
          </w:p>
        </w:tc>
        <w:tc>
          <w:tcPr>
            <w:tcW w:type="dxa" w:w="2396"/>
            <w:vAlign w:val="center"/>
          </w:tcPr>
          <w:p w14:paraId="7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7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7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0,112</w:t>
            </w:r>
          </w:p>
        </w:tc>
        <w:tc>
          <w:tcPr>
            <w:tcW w:type="dxa" w:w="3990"/>
            <w:vAlign w:val="center"/>
          </w:tcPr>
          <w:p w14:paraId="7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9372"/>
          </w:tcPr>
          <w:p w14:paraId="7D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Строительство плоскостного спортивного сооружения (спортивная площадка), д. Новосергеевка</w:t>
            </w:r>
          </w:p>
        </w:tc>
        <w:tc>
          <w:tcPr>
            <w:tcW w:type="dxa" w:w="2396"/>
            <w:vAlign w:val="center"/>
          </w:tcPr>
          <w:p w14:paraId="7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7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8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0,3584</w:t>
            </w:r>
          </w:p>
        </w:tc>
        <w:tc>
          <w:tcPr>
            <w:tcW w:type="dxa" w:w="3990"/>
            <w:vAlign w:val="center"/>
          </w:tcPr>
          <w:p w14:paraId="8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9372"/>
          </w:tcPr>
          <w:p w14:paraId="82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плоскостного </w:t>
            </w:r>
            <w:r>
              <w:rPr>
                <w:rFonts w:ascii="Times New Roman" w:hAnsi="Times New Roman"/>
                <w:sz w:val="24"/>
              </w:rPr>
              <w:t>спортивного сооружения (конный манеж</w:t>
            </w:r>
            <w:r>
              <w:rPr>
                <w:rFonts w:ascii="Times New Roman" w:hAnsi="Times New Roman"/>
                <w:sz w:val="24"/>
              </w:rPr>
              <w:t>), д. Новосергеевка</w:t>
            </w:r>
          </w:p>
        </w:tc>
        <w:tc>
          <w:tcPr>
            <w:tcW w:type="dxa" w:w="2396"/>
            <w:vAlign w:val="center"/>
          </w:tcPr>
          <w:p w14:paraId="8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8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8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12,2733</w:t>
            </w:r>
          </w:p>
        </w:tc>
        <w:tc>
          <w:tcPr>
            <w:tcW w:type="dxa" w:w="3990"/>
            <w:vAlign w:val="center"/>
          </w:tcPr>
          <w:p w14:paraId="8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9372"/>
          </w:tcPr>
          <w:p w14:paraId="87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Строительство плоскостного спортивного сооружения (хоккей</w:t>
            </w:r>
            <w:r>
              <w:rPr>
                <w:rFonts w:ascii="Times New Roman" w:hAnsi="Times New Roman"/>
                <w:sz w:val="24"/>
              </w:rPr>
              <w:t xml:space="preserve">ная площадка), д. </w:t>
            </w:r>
            <w:r>
              <w:rPr>
                <w:rFonts w:ascii="Times New Roman" w:hAnsi="Times New Roman"/>
                <w:sz w:val="24"/>
              </w:rPr>
              <w:t>Краснопутиловка</w:t>
            </w:r>
          </w:p>
        </w:tc>
        <w:tc>
          <w:tcPr>
            <w:tcW w:type="dxa" w:w="2396"/>
            <w:vAlign w:val="center"/>
          </w:tcPr>
          <w:p w14:paraId="8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8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8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0,7067</w:t>
            </w:r>
          </w:p>
        </w:tc>
        <w:tc>
          <w:tcPr>
            <w:tcW w:type="dxa" w:w="3990"/>
            <w:vAlign w:val="center"/>
          </w:tcPr>
          <w:p w14:paraId="8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1546"/>
            <w:gridSpan w:val="5"/>
          </w:tcPr>
          <w:p w14:paraId="8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Объекты местного значения муниципального района</w:t>
            </w:r>
          </w:p>
        </w:tc>
      </w:tr>
      <w:tr>
        <w:tc>
          <w:tcPr>
            <w:tcW w:type="dxa" w:w="9372"/>
            <w:vAlign w:val="center"/>
          </w:tcPr>
          <w:p w14:paraId="8D000000">
            <w:pPr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культурно-досугового центра на 120 мест, д. </w:t>
            </w:r>
            <w:r>
              <w:rPr>
                <w:rFonts w:ascii="Times New Roman" w:hAnsi="Times New Roman"/>
                <w:sz w:val="24"/>
              </w:rPr>
              <w:t>Черноморка</w:t>
            </w:r>
          </w:p>
        </w:tc>
        <w:tc>
          <w:tcPr>
            <w:tcW w:type="dxa" w:w="2396"/>
            <w:vAlign w:val="center"/>
          </w:tcPr>
          <w:p w14:paraId="8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3,0</w:t>
            </w:r>
          </w:p>
        </w:tc>
        <w:tc>
          <w:tcPr>
            <w:tcW w:type="dxa" w:w="3392"/>
            <w:vAlign w:val="center"/>
          </w:tcPr>
          <w:p w14:paraId="8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96"/>
            <w:vAlign w:val="center"/>
          </w:tcPr>
          <w:p w14:paraId="9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0,7045</w:t>
            </w:r>
          </w:p>
        </w:tc>
        <w:tc>
          <w:tcPr>
            <w:tcW w:type="dxa" w:w="3990"/>
            <w:vAlign w:val="center"/>
          </w:tcPr>
          <w:p w14:paraId="9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1546"/>
            <w:gridSpan w:val="5"/>
            <w:vAlign w:val="center"/>
          </w:tcPr>
          <w:p w14:paraId="92000000">
            <w:pPr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инженерной инфраструктуры</w:t>
            </w:r>
          </w:p>
        </w:tc>
      </w:tr>
      <w:tr>
        <w:tc>
          <w:tcPr>
            <w:tcW w:type="dxa" w:w="9372"/>
            <w:vAlign w:val="center"/>
          </w:tcPr>
          <w:p w14:paraId="93000000">
            <w:pPr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очистного сооружения (КОС), д. </w:t>
            </w:r>
            <w:r>
              <w:rPr>
                <w:rFonts w:ascii="Times New Roman" w:hAnsi="Times New Roman"/>
                <w:sz w:val="24"/>
              </w:rPr>
              <w:t>Черноморка</w:t>
            </w:r>
          </w:p>
        </w:tc>
        <w:tc>
          <w:tcPr>
            <w:tcW w:type="dxa" w:w="2396"/>
            <w:vAlign w:val="center"/>
          </w:tcPr>
          <w:p w14:paraId="9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9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9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0,0896</w:t>
            </w:r>
          </w:p>
        </w:tc>
        <w:tc>
          <w:tcPr>
            <w:tcW w:type="dxa" w:w="3990"/>
            <w:vAlign w:val="center"/>
          </w:tcPr>
          <w:p w14:paraId="9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9372"/>
            <w:vAlign w:val="center"/>
          </w:tcPr>
          <w:p w14:paraId="98000000">
            <w:pPr>
              <w:ind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насосной станция, с. </w:t>
            </w:r>
            <w:r>
              <w:rPr>
                <w:rFonts w:ascii="Times New Roman" w:hAnsi="Times New Roman"/>
                <w:sz w:val="24"/>
              </w:rPr>
              <w:t>Шахово</w:t>
            </w:r>
          </w:p>
        </w:tc>
        <w:tc>
          <w:tcPr>
            <w:tcW w:type="dxa" w:w="2396"/>
            <w:vAlign w:val="center"/>
          </w:tcPr>
          <w:p w14:paraId="9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9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2396"/>
            <w:vAlign w:val="center"/>
          </w:tcPr>
          <w:p w14:paraId="9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0,4124</w:t>
            </w:r>
          </w:p>
        </w:tc>
        <w:tc>
          <w:tcPr>
            <w:tcW w:type="dxa" w:w="3990"/>
            <w:vAlign w:val="center"/>
          </w:tcPr>
          <w:p w14:paraId="9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21546"/>
            <w:gridSpan w:val="5"/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Объекты регионального значения</w:t>
            </w:r>
          </w:p>
        </w:tc>
      </w:tr>
      <w:tr>
        <w:tc>
          <w:tcPr>
            <w:tcW w:type="dxa" w:w="21546"/>
            <w:gridSpan w:val="5"/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Зона специализированной общественной застройки</w:t>
            </w:r>
          </w:p>
        </w:tc>
      </w:tr>
      <w:tr>
        <w:tc>
          <w:tcPr>
            <w:tcW w:type="dxa" w:w="9372"/>
          </w:tcPr>
          <w:p w14:paraId="9F000000">
            <w:pPr>
              <w:ind/>
              <w:jc w:val="center"/>
              <w:rPr>
                <w:rFonts w:ascii="Times New Roman" w:hAnsi="Times New Roman"/>
                <w:strike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фельдшерско-акушерского пункта, п. </w:t>
            </w:r>
            <w:r>
              <w:rPr>
                <w:rFonts w:ascii="Times New Roman" w:hAnsi="Times New Roman"/>
                <w:sz w:val="24"/>
              </w:rPr>
              <w:t>Бельдеж</w:t>
            </w:r>
            <w:r>
              <w:rPr>
                <w:rFonts w:ascii="Times New Roman" w:hAnsi="Times New Roman"/>
                <w:sz w:val="24"/>
              </w:rPr>
              <w:t xml:space="preserve"> № 12 Полтавского муниципального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района Омской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площадью 89 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396"/>
          </w:tcPr>
          <w:p w14:paraId="A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type="dxa" w:w="3392"/>
            <w:vAlign w:val="center"/>
          </w:tcPr>
          <w:p w14:paraId="A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96"/>
            <w:vAlign w:val="center"/>
          </w:tcPr>
          <w:p w14:paraId="A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0,0438</w:t>
            </w:r>
          </w:p>
        </w:tc>
        <w:tc>
          <w:tcPr>
            <w:tcW w:type="dxa" w:w="3990"/>
          </w:tcPr>
          <w:p w14:paraId="A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A5000000">
      <w:pPr>
        <w:widowControl w:val="0"/>
        <w:spacing w:after="120" w:before="240"/>
        <w:ind w:firstLine="709" w:left="0" w:right="-142"/>
        <w:jc w:val="right"/>
        <w:rPr>
          <w:rFonts w:ascii="Times New Roman" w:hAnsi="Times New Roman"/>
          <w:i w:val="1"/>
          <w:sz w:val="24"/>
        </w:rPr>
      </w:pPr>
    </w:p>
    <w:p w14:paraId="A6000000">
      <w:pPr>
        <w:widowControl w:val="0"/>
        <w:spacing w:after="120" w:before="240"/>
        <w:ind w:firstLine="709" w:left="0" w:right="-142"/>
        <w:jc w:val="right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Таблица 2.2</w:t>
      </w:r>
    </w:p>
    <w:p w14:paraId="A7000000">
      <w:pPr>
        <w:widowControl w:val="0"/>
        <w:spacing w:after="120" w:before="240"/>
        <w:ind w:firstLine="709" w:left="0" w:right="-142"/>
        <w:jc w:val="center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8"/>
        </w:rPr>
        <w:t>Сведения о планируемых для размещения линейных объектах на территории Ворошиловского сельского поселения</w:t>
      </w:r>
    </w:p>
    <w:p w14:paraId="A8000000">
      <w:bookmarkStart w:id="1" w:name="OLE_LINK947"/>
      <w:bookmarkEnd w:id="1"/>
      <w:bookmarkStart w:id="2" w:name="OLE_LINK948"/>
      <w:bookmarkEnd w:id="2"/>
      <w:bookmarkStart w:id="3" w:name="OLE_LINK949"/>
      <w:bookmarkEnd w:id="3"/>
    </w:p>
    <w:tbl>
      <w:tblPr>
        <w:tblStyle w:val="Style_4"/>
        <w:tblLayout w:type="fixed"/>
      </w:tblPr>
      <w:tblGrid>
        <w:gridCol w:w="978"/>
        <w:gridCol w:w="6451"/>
        <w:gridCol w:w="3379"/>
        <w:gridCol w:w="2585"/>
        <w:gridCol w:w="4430"/>
        <w:gridCol w:w="3723"/>
      </w:tblGrid>
      <w:tr>
        <w:trPr>
          <w:trHeight w:hRule="atLeast" w:val="841"/>
          <w:tblHeader/>
        </w:trPr>
        <w:tc>
          <w:tcPr>
            <w:tcW w:type="dxa" w:w="978"/>
            <w:vAlign w:val="center"/>
          </w:tcPr>
          <w:p w14:paraId="A9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6451"/>
            <w:vAlign w:val="center"/>
          </w:tcPr>
          <w:p w14:paraId="AA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  <w:p w14:paraId="AB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аименование</w:t>
            </w:r>
            <w:r>
              <w:rPr>
                <w:rFonts w:ascii="Times New Roman" w:hAnsi="Times New Roman"/>
                <w:sz w:val="24"/>
              </w:rPr>
              <w:t xml:space="preserve"> объекта (строительство или реконструкция)</w:t>
            </w:r>
          </w:p>
        </w:tc>
        <w:tc>
          <w:tcPr>
            <w:tcW w:type="dxa" w:w="3379"/>
            <w:vAlign w:val="center"/>
          </w:tcPr>
          <w:p w14:paraId="AC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Назначения объекта</w:t>
            </w:r>
          </w:p>
        </w:tc>
        <w:tc>
          <w:tcPr>
            <w:tcW w:type="dxa" w:w="2585"/>
            <w:vAlign w:val="center"/>
          </w:tcPr>
          <w:p w14:paraId="AD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характеристика (мощность) объекта</w:t>
            </w:r>
          </w:p>
        </w:tc>
        <w:tc>
          <w:tcPr>
            <w:tcW w:type="dxa" w:w="4430"/>
            <w:vAlign w:val="center"/>
          </w:tcPr>
          <w:p w14:paraId="AE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объекта</w:t>
            </w:r>
          </w:p>
        </w:tc>
        <w:tc>
          <w:tcPr>
            <w:tcW w:type="dxa" w:w="3723"/>
            <w:vAlign w:val="center"/>
          </w:tcPr>
          <w:p w14:paraId="AF000000">
            <w:pPr>
              <w:ind w:right="-108"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зоны с особыми условиями</w:t>
            </w:r>
          </w:p>
        </w:tc>
      </w:tr>
      <w:tr>
        <w:trPr>
          <w:tblHeader/>
        </w:trPr>
        <w:tc>
          <w:tcPr>
            <w:tcW w:type="dxa" w:w="21546"/>
            <w:gridSpan w:val="6"/>
            <w:vAlign w:val="center"/>
          </w:tcPr>
          <w:p w14:paraId="B0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Объекты регионального значения</w:t>
            </w:r>
          </w:p>
        </w:tc>
      </w:tr>
      <w:tr>
        <w:tc>
          <w:tcPr>
            <w:tcW w:type="dxa" w:w="978"/>
            <w:vAlign w:val="center"/>
          </w:tcPr>
          <w:p w14:paraId="B1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451"/>
            <w:vAlign w:val="center"/>
          </w:tcPr>
          <w:p w14:paraId="B2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Реконструкция автомобильной дороги </w:t>
            </w:r>
            <w:r>
              <w:rPr>
                <w:rFonts w:ascii="Times New Roman" w:hAnsi="Times New Roman"/>
                <w:sz w:val="24"/>
              </w:rPr>
              <w:t>Бакбасар</w:t>
            </w:r>
            <w:r>
              <w:rPr>
                <w:rFonts w:ascii="Times New Roman" w:hAnsi="Times New Roman"/>
                <w:sz w:val="24"/>
              </w:rPr>
              <w:t xml:space="preserve"> – Азово – Шербакуль – Полтавка, участок км 130+400 – км 135+400 в Полтавском муни</w:t>
            </w:r>
            <w:r>
              <w:rPr>
                <w:rFonts w:ascii="Times New Roman" w:hAnsi="Times New Roman"/>
                <w:sz w:val="24"/>
              </w:rPr>
              <w:t>ципальном районе Омской области</w:t>
            </w:r>
          </w:p>
          <w:p w14:paraId="B3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том числе земельные участки под сосредоточенные резервы грунта</w:t>
            </w:r>
          </w:p>
        </w:tc>
        <w:tc>
          <w:tcPr>
            <w:tcW w:type="dxa" w:w="3379"/>
            <w:vAlign w:val="center"/>
          </w:tcPr>
          <w:p w14:paraId="B4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транспортного обслуживания населения</w:t>
            </w:r>
          </w:p>
        </w:tc>
        <w:tc>
          <w:tcPr>
            <w:tcW w:type="dxa" w:w="2585"/>
            <w:vAlign w:val="center"/>
          </w:tcPr>
          <w:p w14:paraId="B5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  <w:p w14:paraId="B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 5,0 км.</w:t>
            </w:r>
          </w:p>
          <w:p w14:paraId="B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30000 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B8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430"/>
            <w:vAlign w:val="center"/>
          </w:tcPr>
          <w:p w14:paraId="B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B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>, Ворошиловское сельское поселение</w:t>
            </w:r>
          </w:p>
        </w:tc>
        <w:tc>
          <w:tcPr>
            <w:tcW w:type="dxa" w:w="3723"/>
            <w:vAlign w:val="center"/>
          </w:tcPr>
          <w:p w14:paraId="BC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  <w:r>
              <w:rPr>
                <w:rFonts w:ascii="Times New Roman" w:hAnsi="Times New Roman"/>
                <w:sz w:val="24"/>
              </w:rPr>
              <w:t xml:space="preserve"> категория, придорожная полоса – 50 м.</w:t>
            </w:r>
          </w:p>
        </w:tc>
      </w:tr>
      <w:tr>
        <w:tc>
          <w:tcPr>
            <w:tcW w:type="dxa" w:w="978"/>
            <w:vAlign w:val="center"/>
          </w:tcPr>
          <w:p w14:paraId="BD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451"/>
            <w:vAlign w:val="center"/>
          </w:tcPr>
          <w:p w14:paraId="BE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Реконструкция подъезда к поселку </w:t>
            </w:r>
            <w:r>
              <w:rPr>
                <w:rFonts w:ascii="Times New Roman" w:hAnsi="Times New Roman"/>
                <w:sz w:val="24"/>
              </w:rPr>
              <w:t>Бельдеж</w:t>
            </w:r>
            <w:r>
              <w:rPr>
                <w:rFonts w:ascii="Times New Roman" w:hAnsi="Times New Roman"/>
                <w:sz w:val="24"/>
              </w:rPr>
              <w:t xml:space="preserve"> № 7 в Полтавском муниципальном районе Омской области</w:t>
            </w:r>
          </w:p>
        </w:tc>
        <w:tc>
          <w:tcPr>
            <w:tcW w:type="dxa" w:w="3379"/>
            <w:vAlign w:val="center"/>
          </w:tcPr>
          <w:p w14:paraId="BF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транспортного обслуживания населения</w:t>
            </w:r>
          </w:p>
        </w:tc>
        <w:tc>
          <w:tcPr>
            <w:tcW w:type="dxa" w:w="2585"/>
            <w:vAlign w:val="center"/>
          </w:tcPr>
          <w:p w14:paraId="C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</w:t>
            </w:r>
          </w:p>
          <w:p w14:paraId="C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4,16 км.</w:t>
            </w:r>
          </w:p>
          <w:p w14:paraId="C2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30000 </w:t>
            </w:r>
            <w:r>
              <w:rPr>
                <w:rFonts w:ascii="Times New Roman" w:hAnsi="Times New Roman"/>
                <w:sz w:val="24"/>
              </w:rPr>
              <w:t>кв.м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430"/>
            <w:vAlign w:val="center"/>
          </w:tcPr>
          <w:p w14:paraId="C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C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>, Ворошиловское сельское поселение</w:t>
            </w:r>
          </w:p>
        </w:tc>
        <w:tc>
          <w:tcPr>
            <w:tcW w:type="dxa" w:w="3723"/>
            <w:vAlign w:val="center"/>
          </w:tcPr>
          <w:p w14:paraId="C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 xml:space="preserve"> категория, придорожная полоса – 50 м.</w:t>
            </w:r>
          </w:p>
        </w:tc>
      </w:tr>
      <w:tr>
        <w:tc>
          <w:tcPr>
            <w:tcW w:type="dxa" w:w="978"/>
            <w:vAlign w:val="center"/>
          </w:tcPr>
          <w:p w14:paraId="C6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6451"/>
            <w:vAlign w:val="center"/>
          </w:tcPr>
          <w:p w14:paraId="C7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Реконструкция автомобильной дороги Подъезд к с. </w:t>
            </w:r>
            <w:r>
              <w:rPr>
                <w:rFonts w:ascii="Times New Roman" w:hAnsi="Times New Roman"/>
                <w:sz w:val="24"/>
              </w:rPr>
              <w:t>Шахово</w:t>
            </w:r>
          </w:p>
        </w:tc>
        <w:tc>
          <w:tcPr>
            <w:tcW w:type="dxa" w:w="3379"/>
            <w:vAlign w:val="center"/>
          </w:tcPr>
          <w:p w14:paraId="C8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транспортного обслуживания населения</w:t>
            </w:r>
          </w:p>
        </w:tc>
        <w:tc>
          <w:tcPr>
            <w:tcW w:type="dxa" w:w="2585"/>
            <w:vAlign w:val="center"/>
          </w:tcPr>
          <w:p w14:paraId="C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</w:t>
            </w:r>
          </w:p>
          <w:p w14:paraId="CA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3,1 км</w:t>
            </w:r>
          </w:p>
        </w:tc>
        <w:tc>
          <w:tcPr>
            <w:tcW w:type="dxa" w:w="4430"/>
            <w:vAlign w:val="center"/>
          </w:tcPr>
          <w:p w14:paraId="C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C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район, Ворошиловское сельское поселение</w:t>
            </w:r>
          </w:p>
        </w:tc>
        <w:tc>
          <w:tcPr>
            <w:tcW w:type="dxa" w:w="3723"/>
            <w:vAlign w:val="center"/>
          </w:tcPr>
          <w:p w14:paraId="C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</w:rPr>
              <w:t xml:space="preserve"> категория, придорожная полоса – 25 м.</w:t>
            </w:r>
          </w:p>
        </w:tc>
      </w:tr>
      <w:tr>
        <w:trPr>
          <w:trHeight w:hRule="atLeast" w:val="513"/>
        </w:trPr>
        <w:tc>
          <w:tcPr>
            <w:tcW w:type="dxa" w:w="978"/>
            <w:vAlign w:val="center"/>
          </w:tcPr>
          <w:p w14:paraId="CE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6451"/>
            <w:vAlign w:val="center"/>
          </w:tcPr>
          <w:p w14:paraId="CF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Магистральный водопровод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Таловское</w:t>
            </w:r>
            <w:r>
              <w:rPr>
                <w:rFonts w:ascii="Times New Roman" w:hAnsi="Times New Roman"/>
                <w:sz w:val="24"/>
              </w:rPr>
              <w:t xml:space="preserve"> – п. Новосергеевка (реконструкция)</w:t>
            </w:r>
          </w:p>
        </w:tc>
        <w:tc>
          <w:tcPr>
            <w:tcW w:type="dxa" w:w="3379"/>
            <w:vAlign w:val="center"/>
          </w:tcPr>
          <w:p w14:paraId="D0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водоснабжения</w:t>
            </w:r>
          </w:p>
        </w:tc>
        <w:tc>
          <w:tcPr>
            <w:tcW w:type="dxa" w:w="2585"/>
            <w:vAlign w:val="center"/>
          </w:tcPr>
          <w:p w14:paraId="D1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</w:p>
          <w:p w14:paraId="D2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 1,</w:t>
            </w:r>
            <w:r>
              <w:rPr>
                <w:rFonts w:ascii="Times New Roman" w:hAnsi="Times New Roman"/>
                <w:sz w:val="24"/>
              </w:rPr>
              <w:t>3 км</w:t>
            </w:r>
          </w:p>
        </w:tc>
        <w:tc>
          <w:tcPr>
            <w:tcW w:type="dxa" w:w="4430"/>
            <w:vAlign w:val="center"/>
          </w:tcPr>
          <w:p w14:paraId="D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D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>, Ворошиловское сельское поселение</w:t>
            </w:r>
          </w:p>
        </w:tc>
        <w:tc>
          <w:tcPr>
            <w:tcW w:type="dxa" w:w="3723"/>
            <w:vAlign w:val="center"/>
          </w:tcPr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Санитарно</w:t>
            </w:r>
            <w:r>
              <w:rPr>
                <w:rFonts w:ascii="Times New Roman" w:hAnsi="Times New Roman"/>
                <w:sz w:val="24"/>
              </w:rPr>
              <w:t>-защитная полоса 10 м.</w:t>
            </w:r>
          </w:p>
        </w:tc>
      </w:tr>
      <w:tr>
        <w:trPr>
          <w:trHeight w:hRule="atLeast" w:val="513"/>
        </w:trPr>
        <w:tc>
          <w:tcPr>
            <w:tcW w:type="dxa" w:w="21546"/>
            <w:gridSpan w:val="6"/>
            <w:vAlign w:val="center"/>
          </w:tcPr>
          <w:p w14:paraId="D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Объекты местного значения муниципального района</w:t>
            </w:r>
          </w:p>
        </w:tc>
      </w:tr>
      <w:tr>
        <w:trPr>
          <w:trHeight w:hRule="atLeast" w:val="513"/>
        </w:trPr>
        <w:tc>
          <w:tcPr>
            <w:tcW w:type="dxa" w:w="978"/>
            <w:vAlign w:val="center"/>
          </w:tcPr>
          <w:p w14:paraId="D7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451"/>
            <w:vAlign w:val="center"/>
          </w:tcPr>
          <w:p w14:paraId="D8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Строительство распределительного газопровода</w:t>
            </w:r>
            <w:r>
              <w:rPr>
                <w:rFonts w:ascii="Times New Roman" w:hAnsi="Times New Roman"/>
                <w:sz w:val="24"/>
              </w:rPr>
              <w:t xml:space="preserve"> высокого давления</w:t>
            </w:r>
          </w:p>
        </w:tc>
        <w:tc>
          <w:tcPr>
            <w:tcW w:type="dxa" w:w="3379"/>
            <w:vAlign w:val="center"/>
          </w:tcPr>
          <w:p w14:paraId="D9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газоснабжения населения</w:t>
            </w:r>
          </w:p>
        </w:tc>
        <w:tc>
          <w:tcPr>
            <w:tcW w:type="dxa" w:w="2585"/>
            <w:vAlign w:val="center"/>
          </w:tcPr>
          <w:p w14:paraId="DA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 7,2 км</w:t>
            </w:r>
          </w:p>
        </w:tc>
        <w:tc>
          <w:tcPr>
            <w:tcW w:type="dxa" w:w="4430"/>
            <w:vAlign w:val="center"/>
          </w:tcPr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D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>, Ворошиловское сельское поселение</w:t>
            </w:r>
          </w:p>
        </w:tc>
        <w:tc>
          <w:tcPr>
            <w:tcW w:type="dxa" w:w="3723"/>
            <w:vAlign w:val="center"/>
          </w:tcPr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Охранная зона – 2 м.</w:t>
            </w:r>
          </w:p>
        </w:tc>
      </w:tr>
      <w:tr>
        <w:trPr>
          <w:trHeight w:hRule="atLeast" w:val="513"/>
        </w:trPr>
        <w:tc>
          <w:tcPr>
            <w:tcW w:type="dxa" w:w="21546"/>
            <w:gridSpan w:val="6"/>
            <w:vAlign w:val="center"/>
          </w:tcPr>
          <w:p w14:paraId="DE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Объекты местного значения </w:t>
            </w:r>
            <w:r>
              <w:rPr>
                <w:rFonts w:ascii="Times New Roman" w:hAnsi="Times New Roman"/>
                <w:b w:val="1"/>
                <w:sz w:val="24"/>
              </w:rPr>
              <w:t>поселения</w:t>
            </w:r>
          </w:p>
        </w:tc>
      </w:tr>
      <w:tr>
        <w:trPr>
          <w:trHeight w:hRule="atLeast" w:val="513"/>
        </w:trPr>
        <w:tc>
          <w:tcPr>
            <w:tcW w:type="dxa" w:w="978"/>
            <w:vAlign w:val="center"/>
          </w:tcPr>
          <w:p w14:paraId="DF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451"/>
            <w:vAlign w:val="center"/>
          </w:tcPr>
          <w:p w14:paraId="E0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улично-дорожной сети в д. </w:t>
            </w:r>
            <w:r>
              <w:rPr>
                <w:rFonts w:ascii="Times New Roman" w:hAnsi="Times New Roman"/>
                <w:sz w:val="24"/>
              </w:rPr>
              <w:t>Черноморка</w:t>
            </w:r>
          </w:p>
        </w:tc>
        <w:tc>
          <w:tcPr>
            <w:tcW w:type="dxa" w:w="3379"/>
            <w:vAlign w:val="center"/>
          </w:tcPr>
          <w:p w14:paraId="E1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</w:rPr>
              <w:t>пешей и транспортной доступности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585"/>
            <w:vAlign w:val="center"/>
          </w:tcPr>
          <w:p w14:paraId="E2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 1,5 км</w:t>
            </w:r>
          </w:p>
        </w:tc>
        <w:tc>
          <w:tcPr>
            <w:tcW w:type="dxa" w:w="4430"/>
            <w:vAlign w:val="center"/>
          </w:tcPr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E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 xml:space="preserve">, Ворошиловское сельское поселение, д. </w:t>
            </w:r>
            <w:r>
              <w:rPr>
                <w:rFonts w:ascii="Times New Roman" w:hAnsi="Times New Roman"/>
                <w:sz w:val="24"/>
              </w:rPr>
              <w:t>Черноморка</w:t>
            </w:r>
          </w:p>
        </w:tc>
        <w:tc>
          <w:tcPr>
            <w:tcW w:type="dxa" w:w="3723"/>
            <w:vAlign w:val="center"/>
          </w:tcPr>
          <w:p w14:paraId="E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rPr>
          <w:trHeight w:hRule="atLeast" w:val="513"/>
        </w:trPr>
        <w:tc>
          <w:tcPr>
            <w:tcW w:type="dxa" w:w="978"/>
            <w:vAlign w:val="center"/>
          </w:tcPr>
          <w:p w14:paraId="E6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451"/>
            <w:vAlign w:val="center"/>
          </w:tcPr>
          <w:p w14:paraId="E7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Строительство улично-дорожной сети в п. </w:t>
            </w:r>
            <w:r>
              <w:rPr>
                <w:rFonts w:ascii="Times New Roman" w:hAnsi="Times New Roman"/>
                <w:sz w:val="24"/>
              </w:rPr>
              <w:t>Бельдеж</w:t>
            </w:r>
            <w:r>
              <w:rPr>
                <w:rFonts w:ascii="Times New Roman" w:hAnsi="Times New Roman"/>
                <w:sz w:val="24"/>
              </w:rPr>
              <w:t xml:space="preserve"> №12</w:t>
            </w:r>
          </w:p>
        </w:tc>
        <w:tc>
          <w:tcPr>
            <w:tcW w:type="dxa" w:w="3379"/>
            <w:vAlign w:val="center"/>
          </w:tcPr>
          <w:p w14:paraId="E8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</w:t>
            </w:r>
            <w:r>
              <w:rPr>
                <w:rFonts w:ascii="Times New Roman" w:hAnsi="Times New Roman"/>
                <w:sz w:val="24"/>
              </w:rPr>
              <w:t>пешей и транспортной доступности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585"/>
            <w:vAlign w:val="center"/>
          </w:tcPr>
          <w:p w14:paraId="E9000000">
            <w:pPr>
              <w:ind/>
              <w:contextualSpacing w:val="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протяженность 0,86 км</w:t>
            </w:r>
          </w:p>
        </w:tc>
        <w:tc>
          <w:tcPr>
            <w:tcW w:type="dxa" w:w="4430"/>
            <w:vAlign w:val="center"/>
          </w:tcPr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Омская область,</w:t>
            </w:r>
          </w:p>
          <w:p w14:paraId="E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Полтавский муниципальный район</w:t>
            </w:r>
            <w:r>
              <w:rPr>
                <w:rFonts w:ascii="Times New Roman" w:hAnsi="Times New Roman"/>
                <w:sz w:val="24"/>
              </w:rPr>
              <w:t xml:space="preserve">, Ворошиловское сельское поселение, д. </w:t>
            </w:r>
            <w:r>
              <w:rPr>
                <w:rFonts w:ascii="Times New Roman" w:hAnsi="Times New Roman"/>
                <w:sz w:val="24"/>
              </w:rPr>
              <w:t>Черноморка</w:t>
            </w:r>
          </w:p>
        </w:tc>
        <w:tc>
          <w:tcPr>
            <w:tcW w:type="dxa" w:w="3723"/>
            <w:vAlign w:val="center"/>
          </w:tcPr>
          <w:p w14:paraId="E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</w:tbl>
    <w:p w14:paraId="ED000000">
      <w:pPr>
        <w:sectPr>
          <w:footerReference r:id="rId2" w:type="default"/>
          <w:pgSz w:h="16839" w:orient="landscape" w:w="23814"/>
          <w:pgMar w:bottom="398" w:footer="851" w:gutter="0" w:header="851" w:left="1134" w:right="1134" w:top="567"/>
        </w:sectPr>
      </w:pPr>
    </w:p>
    <w:p w14:paraId="EE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Приложение № 2 </w:t>
      </w:r>
    </w:p>
    <w:p w14:paraId="EF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 решению Совета Полтавского</w:t>
      </w:r>
    </w:p>
    <w:p w14:paraId="F0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муниципального района </w:t>
      </w:r>
    </w:p>
    <w:p w14:paraId="F1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от 29.11.2023 № 84</w:t>
      </w:r>
    </w:p>
    <w:p w14:paraId="F2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3000000">
      <w:pPr>
        <w:spacing w:line="240" w:lineRule="auto"/>
        <w:ind/>
        <w:jc w:val="right"/>
        <w:rPr>
          <w:rFonts w:ascii="Times New Roman" w:hAnsi="Times New Roman"/>
          <w:color w:val="FF0000"/>
          <w:sz w:val="26"/>
        </w:rPr>
      </w:pPr>
      <w:r>
        <w:rPr>
          <w:rFonts w:ascii="Times New Roman" w:hAnsi="Times New Roman"/>
          <w:color w:val="FF0000"/>
          <w:sz w:val="26"/>
        </w:rPr>
        <w:drawing>
          <wp:inline>
            <wp:extent cx="5940425" cy="366458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3664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4000000">
      <w:pPr>
        <w:sectPr>
          <w:footerReference r:id="rId3" w:type="default"/>
          <w:pgSz w:h="16838" w:orient="portrait" w:w="11906"/>
          <w:pgMar w:bottom="1134" w:footer="708" w:gutter="0" w:header="624" w:left="1701" w:right="850" w:top="568"/>
        </w:sectPr>
      </w:pPr>
    </w:p>
    <w:p w14:paraId="F5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Приложение № 3</w:t>
      </w:r>
    </w:p>
    <w:p w14:paraId="F6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 решению Совета Полтавского</w:t>
      </w:r>
    </w:p>
    <w:p w14:paraId="F7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       муниципального района </w:t>
      </w:r>
    </w:p>
    <w:p w14:paraId="F800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от 29.11.2023 №84 </w:t>
      </w:r>
    </w:p>
    <w:p w14:paraId="F9000000">
      <w:pPr>
        <w:spacing w:line="240" w:lineRule="auto"/>
        <w:ind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inline>
            <wp:extent cx="5940425" cy="366268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36626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B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C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D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E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FF00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0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1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2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3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4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5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6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7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p w14:paraId="0801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Приложение № 4</w:t>
      </w:r>
    </w:p>
    <w:p w14:paraId="0901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 решению Совета Полтавского</w:t>
      </w:r>
    </w:p>
    <w:p w14:paraId="0A010000">
      <w:pPr>
        <w:spacing w:line="240" w:lineRule="auto"/>
        <w:ind/>
        <w:jc w:val="right"/>
        <w:rPr>
          <w:rFonts w:ascii="Times New Roman" w:hAnsi="Times New Roman"/>
          <w:color w:val="FF0000"/>
          <w:sz w:val="26"/>
        </w:rPr>
      </w:pPr>
      <w:r>
        <w:rPr>
          <w:rFonts w:ascii="Times New Roman" w:hAnsi="Times New Roman"/>
          <w:sz w:val="26"/>
        </w:rPr>
        <w:t xml:space="preserve">        муниципального района</w:t>
      </w:r>
    </w:p>
    <w:p w14:paraId="0B01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от 29.11.2023 №84 </w:t>
      </w:r>
    </w:p>
    <w:p w14:paraId="0C010000">
      <w:pPr>
        <w:spacing w:line="240" w:lineRule="auto"/>
        <w:ind/>
        <w:jc w:val="right"/>
        <w:rPr>
          <w:rFonts w:ascii="Times New Roman" w:hAnsi="Times New Roman"/>
          <w:sz w:val="26"/>
        </w:rPr>
      </w:pPr>
      <w:bookmarkStart w:id="4" w:name="_GoBack"/>
      <w:r>
        <w:rPr>
          <w:rFonts w:ascii="Times New Roman" w:hAnsi="Times New Roman"/>
          <w:sz w:val="26"/>
        </w:rPr>
        <w:drawing>
          <wp:inline>
            <wp:extent cx="5940425" cy="366395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3663950"/>
                    </a:xfrm>
                    <a:prstGeom prst="rect"/>
                  </pic:spPr>
                </pic:pic>
              </a:graphicData>
            </a:graphic>
          </wp:inline>
        </w:drawing>
      </w:r>
      <w:bookmarkEnd w:id="4"/>
    </w:p>
    <w:p w14:paraId="0D010000">
      <w:pPr>
        <w:spacing w:line="240" w:lineRule="auto"/>
        <w:ind/>
        <w:jc w:val="center"/>
        <w:rPr>
          <w:rFonts w:ascii="Times New Roman" w:hAnsi="Times New Roman"/>
          <w:sz w:val="26"/>
        </w:rPr>
      </w:pPr>
    </w:p>
    <w:sectPr>
      <w:footerReference r:id="rId5" w:type="default"/>
      <w:pgSz w:h="16838" w:orient="portrait" w:w="11906"/>
      <w:pgMar w:bottom="1134" w:footer="708" w:gutter="0" w:header="708" w:left="1701" w:right="850" w:top="56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ind/>
      <w:jc w:val="center"/>
      <w:rPr>
        <w:rFonts w:ascii="Times New Roman" w:hAnsi="Times New Roman"/>
        <w:sz w:val="24"/>
      </w:rPr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pStyle w:val="Style_25"/>
      <w:lvlText w:val="-"/>
      <w:lvlJc w:val="left"/>
      <w:pPr>
        <w:ind w:hanging="360" w:left="1426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214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6"/>
      </w:pPr>
      <w:rPr>
        <w:rFonts w:ascii="Wingdings" w:hAnsi="Wingdings"/>
      </w:rPr>
    </w:lvl>
  </w:abstractNum>
  <w:abstractNum w:abstractNumId="1">
    <w:lvl w:ilvl="0">
      <w:start w:val="1"/>
      <w:numFmt w:val="decimal"/>
      <w:pStyle w:val="Style_27"/>
      <w:lvlText w:val="Рисунок %1."/>
      <w:lvlJc w:val="center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bullet"/>
      <w:pStyle w:val="Style_36"/>
      <w:lvlText w:val=""/>
      <w:lvlJc w:val="left"/>
      <w:pPr>
        <w:tabs>
          <w:tab w:leader="none" w:pos="926" w:val="left"/>
        </w:tabs>
        <w:ind w:hanging="360" w:left="926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decimal"/>
      <w:pStyle w:val="Style_43"/>
      <w:lvlText w:val="%1."/>
      <w:lvlJc w:val="left"/>
      <w:pPr>
        <w:ind w:firstLine="0" w:left="144"/>
      </w:pPr>
    </w:lvl>
    <w:lvl w:ilvl="1">
      <w:start w:val="1"/>
      <w:numFmt w:val="decimal"/>
      <w:pStyle w:val="Style_75"/>
      <w:lvlText w:val="%1.%2."/>
      <w:lvlJc w:val="left"/>
      <w:pPr>
        <w:ind w:firstLine="0" w:left="284"/>
      </w:pPr>
    </w:lvl>
    <w:lvl w:ilvl="2">
      <w:start w:val="1"/>
      <w:numFmt w:val="decimal"/>
      <w:pStyle w:val="Style_82"/>
      <w:lvlText w:val="%1.%2.%3."/>
      <w:lvlJc w:val="left"/>
      <w:pPr>
        <w:ind w:firstLine="0" w:left="144"/>
      </w:pPr>
    </w:lvl>
    <w:lvl w:ilvl="3">
      <w:start w:val="1"/>
      <w:numFmt w:val="decimal"/>
      <w:pStyle w:val="Style_72"/>
      <w:lvlText w:val="%1.%2.%3.%4"/>
      <w:lvlJc w:val="left"/>
      <w:pPr>
        <w:ind w:firstLine="0" w:left="144"/>
      </w:pPr>
    </w:lvl>
    <w:lvl w:ilvl="4">
      <w:start w:val="1"/>
      <w:numFmt w:val="decimal"/>
      <w:lvlText w:val="%1.%2.%3.%4.%5."/>
      <w:lvlJc w:val="left"/>
      <w:pPr>
        <w:ind w:hanging="792" w:left="4392"/>
      </w:pPr>
    </w:lvl>
    <w:lvl w:ilvl="5">
      <w:start w:val="1"/>
      <w:numFmt w:val="decimal"/>
      <w:lvlText w:val="%1.%2.%3.%4.%5.%6."/>
      <w:lvlJc w:val="left"/>
      <w:pPr>
        <w:ind w:hanging="936" w:left="4896"/>
      </w:pPr>
    </w:lvl>
    <w:lvl w:ilvl="6">
      <w:start w:val="1"/>
      <w:numFmt w:val="decimal"/>
      <w:lvlText w:val="%1.%2.%3.%4.%5.%6.%7."/>
      <w:lvlJc w:val="left"/>
      <w:pPr>
        <w:ind w:hanging="1080" w:left="5400"/>
      </w:pPr>
    </w:lvl>
    <w:lvl w:ilvl="7">
      <w:start w:val="1"/>
      <w:numFmt w:val="decimal"/>
      <w:lvlText w:val="%1.%2.%3.%4.%5.%6.%7.%8."/>
      <w:lvlJc w:val="left"/>
      <w:pPr>
        <w:ind w:hanging="1224" w:left="5904"/>
      </w:pPr>
    </w:lvl>
    <w:lvl w:ilvl="8">
      <w:start w:val="1"/>
      <w:numFmt w:val="decimal"/>
      <w:lvlText w:val="%1.%2.%3.%4.%5.%6.%7.%8.%9."/>
      <w:lvlJc w:val="left"/>
      <w:pPr>
        <w:ind w:hanging="1440" w:left="6480"/>
      </w:pPr>
    </w:lvl>
  </w:abstractNum>
  <w:abstractNum w:abstractNumId="4">
    <w:lvl w:ilvl="0">
      <w:start w:val="1"/>
      <w:numFmt w:val="decimal"/>
      <w:pStyle w:val="Style_52"/>
      <w:lvlText w:val="Таблица %1."/>
      <w:lvlJc w:val="center"/>
      <w:pPr>
        <w:ind w:hanging="360" w:left="2160"/>
      </w:pPr>
      <w:rPr>
        <w:sz w:val="26"/>
      </w:r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5">
    <w:lvl w:ilvl="0">
      <w:start w:val="1"/>
      <w:numFmt w:val="russianLower"/>
      <w:pStyle w:val="Style_78"/>
      <w:lvlText w:val="%1)"/>
      <w:lvlJc w:val="left"/>
      <w:pPr>
        <w:tabs>
          <w:tab w:leader="none" w:pos="851" w:val="left"/>
        </w:tabs>
        <w:ind w:firstLine="1004" w:left="0"/>
      </w:pPr>
      <w:rPr>
        <w:rFonts w:ascii="Times New Roman" w:hAnsi="Times New Roman"/>
        <w:spacing w:val="0"/>
      </w:rPr>
    </w:lvl>
    <w:lvl w:ilvl="1">
      <w:start w:val="1"/>
      <w:numFmt w:val="lowerLetter"/>
      <w:lvlText w:val="%2."/>
      <w:lvlJc w:val="left"/>
      <w:pPr>
        <w:tabs>
          <w:tab w:leader="none" w:pos="2160" w:val="left"/>
        </w:tabs>
        <w:ind w:hanging="360" w:left="2160"/>
      </w:pPr>
    </w:lvl>
    <w:lvl w:ilvl="2">
      <w:start w:val="1"/>
      <w:numFmt w:val="lowerRoman"/>
      <w:lvlText w:val="%3."/>
      <w:lvlJc w:val="right"/>
      <w:pPr>
        <w:tabs>
          <w:tab w:leader="none" w:pos="2880" w:val="left"/>
        </w:tabs>
        <w:ind w:hanging="180" w:left="2880"/>
      </w:pPr>
    </w:lvl>
    <w:lvl w:ilvl="3">
      <w:start w:val="1"/>
      <w:numFmt w:val="decimal"/>
      <w:lvlText w:val="%4."/>
      <w:lvlJc w:val="left"/>
      <w:pPr>
        <w:tabs>
          <w:tab w:leader="none" w:pos="3600" w:val="left"/>
        </w:tabs>
        <w:ind w:hanging="360" w:left="3600"/>
      </w:pPr>
    </w:lvl>
    <w:lvl w:ilvl="4">
      <w:start w:val="1"/>
      <w:numFmt w:val="lowerLetter"/>
      <w:lvlText w:val="%5."/>
      <w:lvlJc w:val="left"/>
      <w:pPr>
        <w:tabs>
          <w:tab w:leader="none" w:pos="4320" w:val="left"/>
        </w:tabs>
        <w:ind w:hanging="360" w:left="4320"/>
      </w:pPr>
    </w:lvl>
    <w:lvl w:ilvl="5">
      <w:start w:val="1"/>
      <w:numFmt w:val="lowerRoman"/>
      <w:lvlText w:val="%6."/>
      <w:lvlJc w:val="right"/>
      <w:pPr>
        <w:tabs>
          <w:tab w:leader="none" w:pos="5040" w:val="left"/>
        </w:tabs>
        <w:ind w:hanging="180" w:left="5040"/>
      </w:pPr>
    </w:lvl>
    <w:lvl w:ilvl="6">
      <w:start w:val="1"/>
      <w:numFmt w:val="decimal"/>
      <w:lvlText w:val="%7."/>
      <w:lvlJc w:val="left"/>
      <w:pPr>
        <w:tabs>
          <w:tab w:leader="none" w:pos="5760" w:val="left"/>
        </w:tabs>
        <w:ind w:hanging="360" w:left="5760"/>
      </w:pPr>
    </w:lvl>
    <w:lvl w:ilvl="7">
      <w:start w:val="1"/>
      <w:numFmt w:val="lowerLetter"/>
      <w:lvlText w:val="%8."/>
      <w:lvlJc w:val="left"/>
      <w:pPr>
        <w:tabs>
          <w:tab w:leader="none" w:pos="6480" w:val="left"/>
        </w:tabs>
        <w:ind w:hanging="360" w:left="6480"/>
      </w:pPr>
    </w:lvl>
    <w:lvl w:ilvl="8">
      <w:start w:val="1"/>
      <w:numFmt w:val="lowerRoman"/>
      <w:lvlText w:val="%9."/>
      <w:lvlJc w:val="right"/>
      <w:pPr>
        <w:tabs>
          <w:tab w:leader="none" w:pos="7200" w:val="left"/>
        </w:tabs>
        <w:ind w:hanging="180" w:left="72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200" w:line="276" w:lineRule="auto"/>
      <w:ind/>
    </w:pPr>
    <w:rPr>
      <w:sz w:val="22"/>
    </w:rPr>
  </w:style>
  <w:style w:default="1" w:styleId="Style_6_ch" w:type="character">
    <w:name w:val="Normal"/>
    <w:link w:val="Style_6"/>
    <w:rPr>
      <w:sz w:val="22"/>
    </w:rPr>
  </w:style>
  <w:style w:styleId="Style_7" w:type="paragraph">
    <w:name w:val="НЗФ_Формула"/>
    <w:basedOn w:val="Style_8"/>
    <w:link w:val="Style_7_ch"/>
  </w:style>
  <w:style w:styleId="Style_7_ch" w:type="character">
    <w:name w:val="НЗФ_Формула"/>
    <w:basedOn w:val="Style_8_ch"/>
    <w:link w:val="Style_7"/>
  </w:style>
  <w:style w:styleId="Style_5" w:type="paragraph">
    <w:name w:val="List Paragraph"/>
    <w:basedOn w:val="Style_6"/>
    <w:link w:val="Style_5_ch"/>
    <w:pPr>
      <w:ind w:firstLine="0" w:left="720"/>
      <w:contextualSpacing w:val="1"/>
    </w:pPr>
    <w:rPr>
      <w:sz w:val="20"/>
    </w:rPr>
  </w:style>
  <w:style w:styleId="Style_5_ch" w:type="character">
    <w:name w:val="List Paragraph"/>
    <w:basedOn w:val="Style_6_ch"/>
    <w:link w:val="Style_5"/>
    <w:rPr>
      <w:sz w:val="20"/>
    </w:rPr>
  </w:style>
  <w:style w:styleId="Style_9" w:type="paragraph">
    <w:name w:val="toc 2"/>
    <w:next w:val="Style_6"/>
    <w:link w:val="Style_9_ch"/>
    <w:uiPriority w:val="39"/>
    <w:pPr>
      <w:ind w:firstLine="0" w:left="200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ConsPlusNormal"/>
    <w:link w:val="Style_10_ch"/>
    <w:pPr>
      <w:widowControl w:val="0"/>
      <w:ind/>
    </w:pPr>
    <w:rPr>
      <w:sz w:val="22"/>
    </w:rPr>
  </w:style>
  <w:style w:styleId="Style_10_ch" w:type="character">
    <w:name w:val="ConsPlusNormal"/>
    <w:link w:val="Style_10"/>
    <w:rPr>
      <w:sz w:val="22"/>
    </w:rPr>
  </w:style>
  <w:style w:styleId="Style_11" w:type="paragraph">
    <w:name w:val="Знак Знак Знак Знак Знак Знак Знак Знак Знак Знак2"/>
    <w:basedOn w:val="Style_6"/>
    <w:link w:val="Style_11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11_ch" w:type="character">
    <w:name w:val="Знак Знак Знак Знак Знак Знак Знак Знак Знак Знак2"/>
    <w:basedOn w:val="Style_6_ch"/>
    <w:link w:val="Style_11"/>
    <w:rPr>
      <w:rFonts w:ascii="Times New Roman" w:hAnsi="Times New Roman"/>
      <w:sz w:val="24"/>
    </w:rPr>
  </w:style>
  <w:style w:styleId="Style_12" w:type="paragraph">
    <w:name w:val="toc 4"/>
    <w:next w:val="Style_6"/>
    <w:link w:val="Style_12_ch"/>
    <w:uiPriority w:val="39"/>
    <w:pPr>
      <w:ind w:firstLine="0" w:left="600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heading 7"/>
    <w:basedOn w:val="Style_6"/>
    <w:next w:val="Style_6"/>
    <w:link w:val="Style_13_ch"/>
    <w:uiPriority w:val="9"/>
    <w:qFormat/>
    <w:pPr>
      <w:keepNext w:val="1"/>
      <w:keepLines w:val="1"/>
      <w:spacing w:after="0" w:before="200"/>
      <w:ind/>
      <w:outlineLvl w:val="6"/>
    </w:pPr>
    <w:rPr>
      <w:rFonts w:ascii="Cambria" w:hAnsi="Cambria"/>
      <w:i w:val="1"/>
      <w:color w:val="404040"/>
    </w:rPr>
  </w:style>
  <w:style w:styleId="Style_13_ch" w:type="character">
    <w:name w:val="heading 7"/>
    <w:basedOn w:val="Style_6_ch"/>
    <w:link w:val="Style_13"/>
    <w:rPr>
      <w:rFonts w:ascii="Cambria" w:hAnsi="Cambria"/>
      <w:i w:val="1"/>
      <w:color w:val="404040"/>
    </w:rPr>
  </w:style>
  <w:style w:styleId="Style_14" w:type="paragraph">
    <w:name w:val="Font Style22"/>
    <w:link w:val="Style_14_ch"/>
    <w:rPr>
      <w:rFonts w:ascii="Cambria" w:hAnsi="Cambria"/>
      <w:b w:val="1"/>
      <w:sz w:val="18"/>
    </w:rPr>
  </w:style>
  <w:style w:styleId="Style_14_ch" w:type="character">
    <w:name w:val="Font Style22"/>
    <w:link w:val="Style_14"/>
    <w:rPr>
      <w:rFonts w:ascii="Cambria" w:hAnsi="Cambria"/>
      <w:b w:val="1"/>
      <w:sz w:val="18"/>
    </w:rPr>
  </w:style>
  <w:style w:styleId="Style_15" w:type="paragraph">
    <w:name w:val="toc 6"/>
    <w:next w:val="Style_6"/>
    <w:link w:val="Style_15_ch"/>
    <w:uiPriority w:val="39"/>
    <w:pPr>
      <w:ind w:firstLine="0" w:left="1000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c2"/>
    <w:basedOn w:val="Style_17"/>
    <w:link w:val="Style_16_ch"/>
  </w:style>
  <w:style w:styleId="Style_16_ch" w:type="character">
    <w:name w:val="c2"/>
    <w:basedOn w:val="Style_17_ch"/>
    <w:link w:val="Style_16"/>
  </w:style>
  <w:style w:styleId="Style_18" w:type="paragraph">
    <w:name w:val="toc 7"/>
    <w:next w:val="Style_6"/>
    <w:link w:val="Style_18_ch"/>
    <w:uiPriority w:val="39"/>
    <w:pPr>
      <w:ind w:firstLine="0" w:left="1200"/>
    </w:pPr>
    <w:rPr>
      <w:rFonts w:ascii="XO Thames" w:hAnsi="XO Thames"/>
      <w:sz w:val="28"/>
    </w:rPr>
  </w:style>
  <w:style w:styleId="Style_18_ch" w:type="character">
    <w:name w:val="toc 7"/>
    <w:link w:val="Style_18"/>
    <w:rPr>
      <w:rFonts w:ascii="XO Thames" w:hAnsi="XO Thames"/>
      <w:sz w:val="28"/>
    </w:rPr>
  </w:style>
  <w:style w:styleId="Style_19" w:type="paragraph">
    <w:name w:val="Заголовок 21"/>
    <w:basedOn w:val="Style_6"/>
    <w:link w:val="Style_19_ch"/>
    <w:pPr>
      <w:widowControl w:val="0"/>
      <w:spacing w:after="0" w:before="127" w:line="240" w:lineRule="auto"/>
      <w:ind w:hanging="593" w:left="1697"/>
      <w:outlineLvl w:val="2"/>
    </w:pPr>
    <w:rPr>
      <w:rFonts w:ascii="Times New Roman" w:hAnsi="Times New Roman"/>
      <w:b w:val="1"/>
      <w:sz w:val="26"/>
    </w:rPr>
  </w:style>
  <w:style w:styleId="Style_19_ch" w:type="character">
    <w:name w:val="Заголовок 21"/>
    <w:basedOn w:val="Style_6_ch"/>
    <w:link w:val="Style_19"/>
    <w:rPr>
      <w:rFonts w:ascii="Times New Roman" w:hAnsi="Times New Roman"/>
      <w:b w:val="1"/>
      <w:sz w:val="26"/>
    </w:rPr>
  </w:style>
  <w:style w:styleId="Style_20" w:type="paragraph">
    <w:name w:val="western"/>
    <w:basedOn w:val="Style_6"/>
    <w:link w:val="Style_20_ch"/>
    <w:pPr>
      <w:spacing w:after="119" w:beforeAutospacing="on" w:line="240" w:lineRule="auto"/>
      <w:ind/>
    </w:pPr>
    <w:rPr>
      <w:rFonts w:ascii="Times New Roman" w:hAnsi="Times New Roman"/>
      <w:sz w:val="24"/>
    </w:rPr>
  </w:style>
  <w:style w:styleId="Style_20_ch" w:type="character">
    <w:name w:val="western"/>
    <w:basedOn w:val="Style_6_ch"/>
    <w:link w:val="Style_20"/>
    <w:rPr>
      <w:rFonts w:ascii="Times New Roman" w:hAnsi="Times New Roman"/>
      <w:sz w:val="24"/>
    </w:rPr>
  </w:style>
  <w:style w:styleId="Style_2" w:type="paragraph">
    <w:name w:val="ConsPlusTitle"/>
    <w:link w:val="Style_2_ch"/>
    <w:pPr>
      <w:widowControl w:val="0"/>
      <w:ind/>
    </w:pPr>
    <w:rPr>
      <w:rFonts w:ascii="Arial" w:hAnsi="Arial"/>
      <w:b w:val="1"/>
      <w:sz w:val="22"/>
    </w:rPr>
  </w:style>
  <w:style w:styleId="Style_2_ch" w:type="character">
    <w:name w:val="ConsPlusTitle"/>
    <w:link w:val="Style_2"/>
    <w:rPr>
      <w:rFonts w:ascii="Arial" w:hAnsi="Arial"/>
      <w:b w:val="1"/>
      <w:sz w:val="22"/>
    </w:rPr>
  </w:style>
  <w:style w:styleId="Style_21" w:type="paragraph">
    <w:name w:val="Гипертекстовая ссылка"/>
    <w:link w:val="Style_21_ch"/>
    <w:rPr>
      <w:color w:val="106BBE"/>
    </w:rPr>
  </w:style>
  <w:style w:styleId="Style_21_ch" w:type="character">
    <w:name w:val="Гипертекстовая ссылка"/>
    <w:link w:val="Style_21"/>
    <w:rPr>
      <w:color w:val="106BBE"/>
    </w:rPr>
  </w:style>
  <w:style w:styleId="Style_22" w:type="paragraph">
    <w:name w:val="Основной текст + 11 pt;Интервал 0 pt"/>
    <w:link w:val="Style_22_ch"/>
    <w:rPr>
      <w:rFonts w:ascii="Times New Roman" w:hAnsi="Times New Roman"/>
      <w:spacing w:val="1"/>
      <w:sz w:val="22"/>
      <w:highlight w:val="white"/>
    </w:rPr>
  </w:style>
  <w:style w:styleId="Style_22_ch" w:type="character">
    <w:name w:val="Основной текст + 11 pt;Интервал 0 pt"/>
    <w:link w:val="Style_22"/>
    <w:rPr>
      <w:rFonts w:ascii="Times New Roman" w:hAnsi="Times New Roman"/>
      <w:spacing w:val="1"/>
      <w:sz w:val="22"/>
      <w:highlight w:val="white"/>
    </w:rPr>
  </w:style>
  <w:style w:styleId="Style_23" w:type="paragraph">
    <w:name w:val="c0"/>
    <w:basedOn w:val="Style_6"/>
    <w:link w:val="Style_2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3_ch" w:type="character">
    <w:name w:val="c0"/>
    <w:basedOn w:val="Style_6_ch"/>
    <w:link w:val="Style_23"/>
    <w:rPr>
      <w:rFonts w:ascii="Times New Roman" w:hAnsi="Times New Roman"/>
      <w:sz w:val="24"/>
    </w:rPr>
  </w:style>
  <w:style w:styleId="Style_24" w:type="paragraph">
    <w:name w:val="heading 3"/>
    <w:basedOn w:val="Style_6"/>
    <w:next w:val="Style_6"/>
    <w:link w:val="Style_24_ch"/>
    <w:uiPriority w:val="9"/>
    <w:qFormat/>
    <w:pPr>
      <w:keepNext w:val="1"/>
      <w:keepLines w:val="1"/>
      <w:spacing w:after="0" w:before="200"/>
      <w:ind/>
      <w:outlineLvl w:val="2"/>
    </w:pPr>
    <w:rPr>
      <w:rFonts w:ascii="Cambria" w:hAnsi="Cambria"/>
      <w:b w:val="1"/>
      <w:color w:val="4F81BD"/>
    </w:rPr>
  </w:style>
  <w:style w:styleId="Style_24_ch" w:type="character">
    <w:name w:val="heading 3"/>
    <w:basedOn w:val="Style_6_ch"/>
    <w:link w:val="Style_24"/>
    <w:rPr>
      <w:rFonts w:ascii="Cambria" w:hAnsi="Cambria"/>
      <w:b w:val="1"/>
      <w:color w:val="4F81BD"/>
    </w:rPr>
  </w:style>
  <w:style w:styleId="Style_25" w:type="paragraph">
    <w:name w:val="НЗФ_Текст_Список"/>
    <w:basedOn w:val="Style_8"/>
    <w:link w:val="Style_25_ch"/>
    <w:pPr>
      <w:numPr>
        <w:numId w:val="1"/>
      </w:numPr>
      <w:tabs>
        <w:tab w:leader="none" w:pos="900" w:val="left"/>
      </w:tabs>
      <w:ind w:firstLine="706" w:left="0"/>
    </w:pPr>
  </w:style>
  <w:style w:styleId="Style_25_ch" w:type="character">
    <w:name w:val="НЗФ_Текст_Список"/>
    <w:basedOn w:val="Style_8_ch"/>
    <w:link w:val="Style_25"/>
  </w:style>
  <w:style w:styleId="Style_26" w:type="paragraph">
    <w:name w:val="Quote"/>
    <w:basedOn w:val="Style_6"/>
    <w:next w:val="Style_6"/>
    <w:link w:val="Style_26_ch"/>
    <w:rPr>
      <w:i w:val="1"/>
    </w:rPr>
  </w:style>
  <w:style w:styleId="Style_26_ch" w:type="character">
    <w:name w:val="Quote"/>
    <w:basedOn w:val="Style_6_ch"/>
    <w:link w:val="Style_26"/>
    <w:rPr>
      <w:i w:val="1"/>
    </w:rPr>
  </w:style>
  <w:style w:styleId="Style_27" w:type="paragraph">
    <w:name w:val="НЗФ_Подпись рисунка"/>
    <w:link w:val="Style_27_ch"/>
    <w:pPr>
      <w:numPr>
        <w:numId w:val="2"/>
      </w:numPr>
      <w:spacing w:after="200" w:before="200"/>
      <w:ind w:firstLine="0" w:left="0"/>
      <w:jc w:val="center"/>
    </w:pPr>
    <w:rPr>
      <w:rFonts w:ascii="Times New Roman" w:hAnsi="Times New Roman"/>
      <w:b w:val="1"/>
      <w:sz w:val="24"/>
    </w:rPr>
  </w:style>
  <w:style w:styleId="Style_27_ch" w:type="character">
    <w:name w:val="НЗФ_Подпись рисунка"/>
    <w:link w:val="Style_27"/>
    <w:rPr>
      <w:rFonts w:ascii="Times New Roman" w:hAnsi="Times New Roman"/>
      <w:b w:val="1"/>
      <w:sz w:val="24"/>
    </w:rPr>
  </w:style>
  <w:style w:styleId="Style_28" w:type="paragraph">
    <w:name w:val="ОГП_Штамп"/>
    <w:basedOn w:val="Style_6"/>
    <w:link w:val="Style_28_ch"/>
    <w:pPr>
      <w:spacing w:after="0" w:line="240" w:lineRule="auto"/>
      <w:ind/>
      <w:jc w:val="center"/>
    </w:pPr>
    <w:rPr>
      <w:rFonts w:ascii="Times New Roman" w:hAnsi="Times New Roman"/>
      <w:sz w:val="20"/>
    </w:rPr>
  </w:style>
  <w:style w:styleId="Style_28_ch" w:type="character">
    <w:name w:val="ОГП_Штамп"/>
    <w:basedOn w:val="Style_6_ch"/>
    <w:link w:val="Style_28"/>
    <w:rPr>
      <w:rFonts w:ascii="Times New Roman" w:hAnsi="Times New Roman"/>
      <w:sz w:val="20"/>
    </w:rPr>
  </w:style>
  <w:style w:styleId="Style_29" w:type="paragraph">
    <w:name w:val="heading 9"/>
    <w:basedOn w:val="Style_6"/>
    <w:next w:val="Style_6"/>
    <w:link w:val="Style_29_ch"/>
    <w:uiPriority w:val="9"/>
    <w:qFormat/>
    <w:pPr>
      <w:keepNext w:val="1"/>
      <w:keepLines w:val="1"/>
      <w:spacing w:after="0" w:before="200"/>
      <w:ind/>
      <w:outlineLvl w:val="8"/>
    </w:pPr>
    <w:rPr>
      <w:rFonts w:ascii="Cambria" w:hAnsi="Cambria"/>
      <w:i w:val="1"/>
      <w:color w:val="404040"/>
      <w:sz w:val="20"/>
    </w:rPr>
  </w:style>
  <w:style w:styleId="Style_29_ch" w:type="character">
    <w:name w:val="heading 9"/>
    <w:basedOn w:val="Style_6_ch"/>
    <w:link w:val="Style_29"/>
    <w:rPr>
      <w:rFonts w:ascii="Cambria" w:hAnsi="Cambria"/>
      <w:i w:val="1"/>
      <w:color w:val="404040"/>
      <w:sz w:val="20"/>
    </w:rPr>
  </w:style>
  <w:style w:styleId="Style_30" w:type="paragraph">
    <w:name w:val="caption"/>
    <w:basedOn w:val="Style_6"/>
    <w:next w:val="Style_6"/>
    <w:link w:val="Style_30_ch"/>
    <w:pPr>
      <w:spacing w:line="240" w:lineRule="auto"/>
      <w:ind/>
    </w:pPr>
    <w:rPr>
      <w:b w:val="1"/>
      <w:color w:val="4F81BD"/>
      <w:sz w:val="18"/>
    </w:rPr>
  </w:style>
  <w:style w:styleId="Style_30_ch" w:type="character">
    <w:name w:val="caption"/>
    <w:basedOn w:val="Style_6_ch"/>
    <w:link w:val="Style_30"/>
    <w:rPr>
      <w:b w:val="1"/>
      <w:color w:val="4F81BD"/>
      <w:sz w:val="18"/>
    </w:rPr>
  </w:style>
  <w:style w:styleId="Style_31" w:type="paragraph">
    <w:name w:val="Нормальный (таблица)"/>
    <w:basedOn w:val="Style_6"/>
    <w:next w:val="Style_6"/>
    <w:link w:val="Style_31_ch"/>
    <w:pPr>
      <w:widowControl w:val="0"/>
      <w:spacing w:after="0" w:line="240" w:lineRule="auto"/>
      <w:ind/>
      <w:jc w:val="both"/>
    </w:pPr>
    <w:rPr>
      <w:rFonts w:ascii="Arial" w:hAnsi="Arial"/>
      <w:sz w:val="24"/>
    </w:rPr>
  </w:style>
  <w:style w:styleId="Style_31_ch" w:type="character">
    <w:name w:val="Нормальный (таблица)"/>
    <w:basedOn w:val="Style_6_ch"/>
    <w:link w:val="Style_31"/>
    <w:rPr>
      <w:rFonts w:ascii="Arial" w:hAnsi="Arial"/>
      <w:sz w:val="24"/>
    </w:rPr>
  </w:style>
  <w:style w:styleId="Style_32" w:type="paragraph">
    <w:name w:val="Слабая ссылка1"/>
    <w:link w:val="Style_32_ch"/>
    <w:rPr>
      <w:smallCaps w:val="1"/>
      <w:color w:val="C0504D"/>
      <w:u w:val="single"/>
    </w:rPr>
  </w:style>
  <w:style w:styleId="Style_32_ch" w:type="character">
    <w:name w:val="Слабая ссылка1"/>
    <w:link w:val="Style_32"/>
    <w:rPr>
      <w:smallCaps w:val="1"/>
      <w:color w:val="C0504D"/>
      <w:u w:val="single"/>
    </w:rPr>
  </w:style>
  <w:style w:styleId="Style_33" w:type="paragraph">
    <w:name w:val="Сильная ссылка1"/>
    <w:link w:val="Style_33_ch"/>
    <w:rPr>
      <w:b w:val="1"/>
      <w:smallCaps w:val="1"/>
      <w:color w:val="C0504D"/>
      <w:spacing w:val="5"/>
      <w:u w:val="single"/>
    </w:rPr>
  </w:style>
  <w:style w:styleId="Style_33_ch" w:type="character">
    <w:name w:val="Сильная ссылка1"/>
    <w:link w:val="Style_33"/>
    <w:rPr>
      <w:b w:val="1"/>
      <w:smallCaps w:val="1"/>
      <w:color w:val="C0504D"/>
      <w:spacing w:val="5"/>
      <w:u w:val="single"/>
    </w:rPr>
  </w:style>
  <w:style w:styleId="Style_34" w:type="paragraph">
    <w:name w:val="s_16"/>
    <w:basedOn w:val="Style_6"/>
    <w:link w:val="Style_3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4_ch" w:type="character">
    <w:name w:val="s_16"/>
    <w:basedOn w:val="Style_6_ch"/>
    <w:link w:val="Style_34"/>
    <w:rPr>
      <w:rFonts w:ascii="Times New Roman" w:hAnsi="Times New Roman"/>
      <w:sz w:val="24"/>
    </w:rPr>
  </w:style>
  <w:style w:styleId="Style_35" w:type="paragraph">
    <w:name w:val="Название1"/>
    <w:basedOn w:val="Style_6"/>
    <w:next w:val="Style_6"/>
    <w:link w:val="Style_35_ch"/>
    <w:pPr>
      <w:spacing w:after="300" w:line="240" w:lineRule="auto"/>
      <w:ind/>
      <w:contextualSpacing w:val="1"/>
    </w:pPr>
    <w:rPr>
      <w:rFonts w:ascii="Cambria" w:hAnsi="Cambria"/>
      <w:color w:val="17365D"/>
      <w:spacing w:val="5"/>
      <w:sz w:val="52"/>
    </w:rPr>
  </w:style>
  <w:style w:styleId="Style_35_ch" w:type="character">
    <w:name w:val="Название1"/>
    <w:basedOn w:val="Style_6_ch"/>
    <w:link w:val="Style_35"/>
    <w:rPr>
      <w:rFonts w:ascii="Cambria" w:hAnsi="Cambria"/>
      <w:color w:val="17365D"/>
      <w:spacing w:val="5"/>
      <w:sz w:val="52"/>
    </w:rPr>
  </w:style>
  <w:style w:styleId="Style_36" w:type="paragraph">
    <w:name w:val="List Bullet 3"/>
    <w:basedOn w:val="Style_6"/>
    <w:link w:val="Style_36_ch"/>
    <w:pPr>
      <w:numPr>
        <w:numId w:val="3"/>
      </w:numPr>
      <w:ind/>
      <w:contextualSpacing w:val="1"/>
    </w:pPr>
  </w:style>
  <w:style w:styleId="Style_36_ch" w:type="character">
    <w:name w:val="List Bullet 3"/>
    <w:basedOn w:val="Style_6_ch"/>
    <w:link w:val="Style_36"/>
  </w:style>
  <w:style w:styleId="Style_37" w:type="paragraph">
    <w:name w:val="s_1"/>
    <w:basedOn w:val="Style_6"/>
    <w:link w:val="Style_3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7_ch" w:type="character">
    <w:name w:val="s_1"/>
    <w:basedOn w:val="Style_6_ch"/>
    <w:link w:val="Style_37"/>
    <w:rPr>
      <w:rFonts w:ascii="Times New Roman" w:hAnsi="Times New Roman"/>
      <w:sz w:val="24"/>
    </w:rPr>
  </w:style>
  <w:style w:styleId="Style_38" w:type="paragraph">
    <w:name w:val="Default"/>
    <w:link w:val="Style_38_ch"/>
    <w:rPr>
      <w:rFonts w:ascii="Times New Roman" w:hAnsi="Times New Roman"/>
      <w:sz w:val="24"/>
    </w:rPr>
  </w:style>
  <w:style w:styleId="Style_38_ch" w:type="character">
    <w:name w:val="Default"/>
    <w:link w:val="Style_38"/>
    <w:rPr>
      <w:rFonts w:ascii="Times New Roman" w:hAnsi="Times New Roman"/>
      <w:sz w:val="24"/>
    </w:rPr>
  </w:style>
  <w:style w:styleId="Style_8" w:type="paragraph">
    <w:name w:val="НЗФ_Текст"/>
    <w:link w:val="Style_8_ch"/>
    <w:pPr>
      <w:spacing w:line="276" w:lineRule="auto"/>
      <w:ind w:firstLine="706" w:left="0"/>
      <w:jc w:val="both"/>
    </w:pPr>
    <w:rPr>
      <w:rFonts w:ascii="Times New Roman" w:hAnsi="Times New Roman"/>
      <w:sz w:val="24"/>
    </w:rPr>
  </w:style>
  <w:style w:styleId="Style_8_ch" w:type="character">
    <w:name w:val="НЗФ_Текст"/>
    <w:link w:val="Style_8"/>
    <w:rPr>
      <w:rFonts w:ascii="Times New Roman" w:hAnsi="Times New Roman"/>
      <w:sz w:val="24"/>
    </w:rPr>
  </w:style>
  <w:style w:styleId="Style_39" w:type="paragraph">
    <w:name w:val="Default Paragraph Font"/>
    <w:link w:val="Style_39_ch"/>
  </w:style>
  <w:style w:styleId="Style_39_ch" w:type="character">
    <w:name w:val="Default Paragraph Font"/>
    <w:link w:val="Style_39"/>
  </w:style>
  <w:style w:styleId="Style_40" w:type="paragraph">
    <w:name w:val="toc 3"/>
    <w:next w:val="Style_6"/>
    <w:link w:val="Style_40_ch"/>
    <w:uiPriority w:val="39"/>
    <w:pPr>
      <w:ind w:firstLine="0" w:left="400"/>
    </w:pPr>
    <w:rPr>
      <w:rFonts w:ascii="XO Thames" w:hAnsi="XO Thames"/>
      <w:sz w:val="28"/>
    </w:rPr>
  </w:style>
  <w:style w:styleId="Style_40_ch" w:type="character">
    <w:name w:val="toc 3"/>
    <w:link w:val="Style_40"/>
    <w:rPr>
      <w:rFonts w:ascii="XO Thames" w:hAnsi="XO Thames"/>
      <w:sz w:val="28"/>
    </w:rPr>
  </w:style>
  <w:style w:styleId="Style_41" w:type="paragraph">
    <w:name w:val="header"/>
    <w:basedOn w:val="Style_6"/>
    <w:link w:val="Style_4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41_ch" w:type="character">
    <w:name w:val="header"/>
    <w:basedOn w:val="Style_6_ch"/>
    <w:link w:val="Style_41"/>
  </w:style>
  <w:style w:styleId="Style_42" w:type="paragraph">
    <w:name w:val="Знак примечания1"/>
    <w:link w:val="Style_42_ch"/>
    <w:rPr>
      <w:sz w:val="16"/>
    </w:rPr>
  </w:style>
  <w:style w:styleId="Style_42_ch" w:type="character">
    <w:name w:val="Знак примечания1"/>
    <w:link w:val="Style_42"/>
    <w:rPr>
      <w:sz w:val="16"/>
    </w:rPr>
  </w:style>
  <w:style w:styleId="Style_43" w:type="paragraph">
    <w:name w:val="НЗФ_Заголовок 1."/>
    <w:next w:val="Style_6"/>
    <w:link w:val="Style_43_ch"/>
    <w:pPr>
      <w:numPr>
        <w:numId w:val="4"/>
      </w:numPr>
      <w:spacing w:after="200" w:before="200"/>
      <w:ind/>
      <w:outlineLvl w:val="0"/>
    </w:pPr>
    <w:rPr>
      <w:rFonts w:ascii="Times New Roman" w:hAnsi="Times New Roman"/>
      <w:b w:val="1"/>
      <w:caps w:val="1"/>
      <w:sz w:val="28"/>
    </w:rPr>
  </w:style>
  <w:style w:styleId="Style_43_ch" w:type="character">
    <w:name w:val="НЗФ_Заголовок 1."/>
    <w:link w:val="Style_43"/>
    <w:rPr>
      <w:rFonts w:ascii="Times New Roman" w:hAnsi="Times New Roman"/>
      <w:b w:val="1"/>
      <w:caps w:val="1"/>
      <w:sz w:val="28"/>
    </w:rPr>
  </w:style>
  <w:style w:styleId="Style_44" w:type="paragraph">
    <w:name w:val="Знак Знак Знак Знак Знак Знак Знак Знак Знак Знак1"/>
    <w:basedOn w:val="Style_6"/>
    <w:link w:val="Style_44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44_ch" w:type="character">
    <w:name w:val="Знак Знак Знак Знак Знак Знак Знак Знак Знак Знак1"/>
    <w:basedOn w:val="Style_6_ch"/>
    <w:link w:val="Style_44"/>
    <w:rPr>
      <w:rFonts w:ascii="Times New Roman" w:hAnsi="Times New Roman"/>
      <w:sz w:val="24"/>
    </w:rPr>
  </w:style>
  <w:style w:styleId="Style_45" w:type="paragraph">
    <w:name w:val="Body Text Indent"/>
    <w:basedOn w:val="Style_6"/>
    <w:link w:val="Style_45_ch"/>
    <w:pPr>
      <w:spacing w:after="120"/>
      <w:ind w:firstLine="0" w:left="283"/>
    </w:pPr>
  </w:style>
  <w:style w:styleId="Style_45_ch" w:type="character">
    <w:name w:val="Body Text Indent"/>
    <w:basedOn w:val="Style_6_ch"/>
    <w:link w:val="Style_45"/>
  </w:style>
  <w:style w:styleId="Style_46" w:type="paragraph">
    <w:name w:val="consnormal"/>
    <w:basedOn w:val="Style_6"/>
    <w:link w:val="Style_4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6_ch" w:type="character">
    <w:name w:val="consnormal"/>
    <w:basedOn w:val="Style_6_ch"/>
    <w:link w:val="Style_46"/>
    <w:rPr>
      <w:rFonts w:ascii="Times New Roman" w:hAnsi="Times New Roman"/>
      <w:sz w:val="24"/>
    </w:rPr>
  </w:style>
  <w:style w:styleId="Style_47" w:type="paragraph">
    <w:name w:val="annotation subject"/>
    <w:basedOn w:val="Style_48"/>
    <w:next w:val="Style_48"/>
    <w:link w:val="Style_47_ch"/>
    <w:rPr>
      <w:b w:val="1"/>
    </w:rPr>
  </w:style>
  <w:style w:styleId="Style_47_ch" w:type="character">
    <w:name w:val="annotation subject"/>
    <w:basedOn w:val="Style_48_ch"/>
    <w:link w:val="Style_47"/>
    <w:rPr>
      <w:b w:val="1"/>
    </w:rPr>
  </w:style>
  <w:style w:styleId="Style_49" w:type="paragraph">
    <w:name w:val="Table Paragraph"/>
    <w:basedOn w:val="Style_6"/>
    <w:link w:val="Style_49_ch"/>
    <w:pPr>
      <w:widowControl w:val="0"/>
      <w:spacing w:after="0" w:line="240" w:lineRule="auto"/>
      <w:ind/>
    </w:pPr>
  </w:style>
  <w:style w:styleId="Style_49_ch" w:type="character">
    <w:name w:val="Table Paragraph"/>
    <w:basedOn w:val="Style_6_ch"/>
    <w:link w:val="Style_49"/>
  </w:style>
  <w:style w:styleId="Style_50" w:type="paragraph">
    <w:name w:val="Balloon Text"/>
    <w:basedOn w:val="Style_6"/>
    <w:link w:val="Style_50_ch"/>
    <w:pPr>
      <w:spacing w:after="0" w:line="240" w:lineRule="auto"/>
      <w:ind/>
    </w:pPr>
    <w:rPr>
      <w:rFonts w:ascii="Tahoma" w:hAnsi="Tahoma"/>
      <w:sz w:val="16"/>
    </w:rPr>
  </w:style>
  <w:style w:styleId="Style_50_ch" w:type="character">
    <w:name w:val="Balloon Text"/>
    <w:basedOn w:val="Style_6_ch"/>
    <w:link w:val="Style_50"/>
    <w:rPr>
      <w:rFonts w:ascii="Tahoma" w:hAnsi="Tahoma"/>
      <w:sz w:val="16"/>
    </w:rPr>
  </w:style>
  <w:style w:styleId="Style_51" w:type="paragraph">
    <w:name w:val="Строгий1"/>
    <w:link w:val="Style_51_ch"/>
    <w:rPr>
      <w:b w:val="1"/>
    </w:rPr>
  </w:style>
  <w:style w:styleId="Style_51_ch" w:type="character">
    <w:name w:val="Строгий1"/>
    <w:link w:val="Style_51"/>
    <w:rPr>
      <w:b w:val="1"/>
    </w:rPr>
  </w:style>
  <w:style w:styleId="Style_52" w:type="paragraph">
    <w:name w:val="НЗФ_Подпись таблицы"/>
    <w:next w:val="Style_8"/>
    <w:link w:val="Style_52_ch"/>
    <w:pPr>
      <w:numPr>
        <w:numId w:val="5"/>
      </w:numPr>
      <w:spacing w:before="100"/>
      <w:ind/>
      <w:jc w:val="center"/>
    </w:pPr>
    <w:rPr>
      <w:rFonts w:ascii="Times New Roman" w:hAnsi="Times New Roman"/>
      <w:b w:val="1"/>
      <w:sz w:val="24"/>
    </w:rPr>
  </w:style>
  <w:style w:styleId="Style_52_ch" w:type="character">
    <w:name w:val="НЗФ_Подпись таблицы"/>
    <w:link w:val="Style_52"/>
    <w:rPr>
      <w:rFonts w:ascii="Times New Roman" w:hAnsi="Times New Roman"/>
      <w:b w:val="1"/>
      <w:sz w:val="24"/>
    </w:rPr>
  </w:style>
  <w:style w:styleId="Style_53" w:type="paragraph">
    <w:name w:val="heading 5"/>
    <w:basedOn w:val="Style_6"/>
    <w:next w:val="Style_6"/>
    <w:link w:val="Style_53_ch"/>
    <w:uiPriority w:val="9"/>
    <w:qFormat/>
    <w:pPr>
      <w:keepNext w:val="1"/>
      <w:keepLines w:val="1"/>
      <w:spacing w:after="0" w:before="200"/>
      <w:ind/>
      <w:outlineLvl w:val="4"/>
    </w:pPr>
    <w:rPr>
      <w:rFonts w:ascii="Cambria" w:hAnsi="Cambria"/>
      <w:color w:val="243F60"/>
    </w:rPr>
  </w:style>
  <w:style w:styleId="Style_53_ch" w:type="character">
    <w:name w:val="heading 5"/>
    <w:basedOn w:val="Style_6_ch"/>
    <w:link w:val="Style_53"/>
    <w:rPr>
      <w:rFonts w:ascii="Cambria" w:hAnsi="Cambria"/>
      <w:color w:val="243F60"/>
    </w:rPr>
  </w:style>
  <w:style w:styleId="Style_54" w:type="paragraph">
    <w:name w:val="heading 1"/>
    <w:basedOn w:val="Style_6"/>
    <w:next w:val="Style_6"/>
    <w:link w:val="Style_54_ch"/>
    <w:uiPriority w:val="9"/>
    <w:qFormat/>
    <w:pPr>
      <w:keepNext w:val="1"/>
      <w:keepLines w:val="1"/>
      <w:spacing w:after="0" w:before="480"/>
      <w:ind/>
      <w:outlineLvl w:val="0"/>
    </w:pPr>
    <w:rPr>
      <w:rFonts w:ascii="Cambria" w:hAnsi="Cambria"/>
      <w:b w:val="1"/>
      <w:color w:val="365F91"/>
      <w:sz w:val="28"/>
    </w:rPr>
  </w:style>
  <w:style w:styleId="Style_54_ch" w:type="character">
    <w:name w:val="heading 1"/>
    <w:basedOn w:val="Style_6_ch"/>
    <w:link w:val="Style_54"/>
    <w:rPr>
      <w:rFonts w:ascii="Cambria" w:hAnsi="Cambria"/>
      <w:b w:val="1"/>
      <w:color w:val="365F91"/>
      <w:sz w:val="28"/>
    </w:rPr>
  </w:style>
  <w:style w:styleId="Style_55" w:type="paragraph">
    <w:name w:val="Intense Quote"/>
    <w:basedOn w:val="Style_6"/>
    <w:next w:val="Style_6"/>
    <w:link w:val="Style_55_ch"/>
    <w:pPr>
      <w:spacing w:after="280" w:before="200"/>
      <w:ind w:firstLine="0" w:left="936" w:right="936"/>
    </w:pPr>
    <w:rPr>
      <w:b w:val="1"/>
      <w:i w:val="1"/>
      <w:color w:val="4F81BD"/>
    </w:rPr>
  </w:style>
  <w:style w:styleId="Style_55_ch" w:type="character">
    <w:name w:val="Intense Quote"/>
    <w:basedOn w:val="Style_6_ch"/>
    <w:link w:val="Style_55"/>
    <w:rPr>
      <w:b w:val="1"/>
      <w:i w:val="1"/>
      <w:color w:val="4F81BD"/>
    </w:rPr>
  </w:style>
  <w:style w:styleId="Style_56" w:type="paragraph">
    <w:name w:val="Абзац"/>
    <w:basedOn w:val="Style_6"/>
    <w:link w:val="Style_56_ch"/>
    <w:pPr>
      <w:spacing w:after="60" w:before="120" w:line="240" w:lineRule="auto"/>
      <w:ind w:firstLine="567" w:left="0"/>
      <w:jc w:val="both"/>
    </w:pPr>
    <w:rPr>
      <w:sz w:val="24"/>
    </w:rPr>
  </w:style>
  <w:style w:styleId="Style_56_ch" w:type="character">
    <w:name w:val="Абзац"/>
    <w:basedOn w:val="Style_6_ch"/>
    <w:link w:val="Style_56"/>
    <w:rPr>
      <w:sz w:val="24"/>
    </w:rPr>
  </w:style>
  <w:style w:styleId="Style_57" w:type="paragraph">
    <w:name w:val="Hyperlink"/>
    <w:link w:val="Style_57_ch"/>
    <w:rPr>
      <w:color w:val="0000FF"/>
      <w:u w:val="single"/>
    </w:rPr>
  </w:style>
  <w:style w:styleId="Style_57_ch" w:type="character">
    <w:name w:val="Hyperlink"/>
    <w:link w:val="Style_57"/>
    <w:rPr>
      <w:color w:val="0000FF"/>
      <w:u w:val="single"/>
    </w:rPr>
  </w:style>
  <w:style w:styleId="Style_58" w:type="paragraph">
    <w:name w:val="Footnote"/>
    <w:basedOn w:val="Style_6"/>
    <w:link w:val="Style_58_ch"/>
    <w:pPr>
      <w:spacing w:after="60" w:line="240" w:lineRule="auto"/>
      <w:ind/>
      <w:jc w:val="both"/>
    </w:pPr>
    <w:rPr>
      <w:rFonts w:ascii="Times New Roman" w:hAnsi="Times New Roman"/>
      <w:sz w:val="20"/>
    </w:rPr>
  </w:style>
  <w:style w:styleId="Style_58_ch" w:type="character">
    <w:name w:val="Footnote"/>
    <w:basedOn w:val="Style_6_ch"/>
    <w:link w:val="Style_58"/>
    <w:rPr>
      <w:rFonts w:ascii="Times New Roman" w:hAnsi="Times New Roman"/>
      <w:sz w:val="20"/>
    </w:rPr>
  </w:style>
  <w:style w:styleId="Style_59" w:type="paragraph">
    <w:name w:val="heading 8"/>
    <w:basedOn w:val="Style_6"/>
    <w:next w:val="Style_6"/>
    <w:link w:val="Style_59_ch"/>
    <w:uiPriority w:val="9"/>
    <w:qFormat/>
    <w:pPr>
      <w:keepNext w:val="1"/>
      <w:keepLines w:val="1"/>
      <w:spacing w:after="0" w:before="200"/>
      <w:ind/>
      <w:outlineLvl w:val="7"/>
    </w:pPr>
    <w:rPr>
      <w:rFonts w:ascii="Cambria" w:hAnsi="Cambria"/>
      <w:color w:val="4F81BD"/>
      <w:sz w:val="20"/>
    </w:rPr>
  </w:style>
  <w:style w:styleId="Style_59_ch" w:type="character">
    <w:name w:val="heading 8"/>
    <w:basedOn w:val="Style_6_ch"/>
    <w:link w:val="Style_59"/>
    <w:rPr>
      <w:rFonts w:ascii="Cambria" w:hAnsi="Cambria"/>
      <w:color w:val="4F81BD"/>
      <w:sz w:val="20"/>
    </w:rPr>
  </w:style>
  <w:style w:styleId="Style_17" w:type="paragraph">
    <w:name w:val="Основной шрифт абзаца1"/>
    <w:link w:val="Style_17_ch"/>
  </w:style>
  <w:style w:styleId="Style_17_ch" w:type="character">
    <w:name w:val="Основной шрифт абзаца1"/>
    <w:link w:val="Style_17"/>
  </w:style>
  <w:style w:styleId="Style_60" w:type="paragraph">
    <w:name w:val="Гиперссылка1"/>
    <w:link w:val="Style_60_ch"/>
    <w:rPr>
      <w:color w:val="0000FF"/>
      <w:u w:val="single"/>
    </w:rPr>
  </w:style>
  <w:style w:styleId="Style_60_ch" w:type="character">
    <w:name w:val="Гиперссылка1"/>
    <w:link w:val="Style_60"/>
    <w:rPr>
      <w:color w:val="0000FF"/>
      <w:u w:val="single"/>
    </w:rPr>
  </w:style>
  <w:style w:styleId="Style_61" w:type="paragraph">
    <w:name w:val="Знак Знак Знак Знак Знак Знак Знак Знак Знак Знак"/>
    <w:basedOn w:val="Style_6"/>
    <w:link w:val="Style_61_ch"/>
    <w:pPr>
      <w:spacing w:after="0" w:line="240" w:lineRule="exact"/>
      <w:ind/>
      <w:jc w:val="both"/>
    </w:pPr>
    <w:rPr>
      <w:rFonts w:ascii="Times New Roman" w:hAnsi="Times New Roman"/>
      <w:sz w:val="24"/>
    </w:rPr>
  </w:style>
  <w:style w:styleId="Style_61_ch" w:type="character">
    <w:name w:val="Знак Знак Знак Знак Знак Знак Знак Знак Знак Знак"/>
    <w:basedOn w:val="Style_6_ch"/>
    <w:link w:val="Style_61"/>
    <w:rPr>
      <w:rFonts w:ascii="Times New Roman" w:hAnsi="Times New Roman"/>
      <w:sz w:val="24"/>
    </w:rPr>
  </w:style>
  <w:style w:styleId="Style_62" w:type="paragraph">
    <w:name w:val="toc 1"/>
    <w:next w:val="Style_6"/>
    <w:link w:val="Style_62_ch"/>
    <w:uiPriority w:val="39"/>
    <w:rPr>
      <w:rFonts w:ascii="XO Thames" w:hAnsi="XO Thames"/>
      <w:b w:val="1"/>
      <w:sz w:val="28"/>
    </w:rPr>
  </w:style>
  <w:style w:styleId="Style_62_ch" w:type="character">
    <w:name w:val="toc 1"/>
    <w:link w:val="Style_62"/>
    <w:rPr>
      <w:rFonts w:ascii="XO Thames" w:hAnsi="XO Thames"/>
      <w:b w:val="1"/>
      <w:sz w:val="28"/>
    </w:rPr>
  </w:style>
  <w:style w:styleId="Style_63" w:type="paragraph">
    <w:name w:val="formattext"/>
    <w:basedOn w:val="Style_6"/>
    <w:link w:val="Style_6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3_ch" w:type="character">
    <w:name w:val="formattext"/>
    <w:basedOn w:val="Style_6_ch"/>
    <w:link w:val="Style_63"/>
    <w:rPr>
      <w:rFonts w:ascii="Times New Roman" w:hAnsi="Times New Roman"/>
      <w:sz w:val="24"/>
    </w:rPr>
  </w:style>
  <w:style w:styleId="Style_64" w:type="paragraph">
    <w:name w:val="Header and Footer"/>
    <w:link w:val="Style_64_ch"/>
    <w:pPr>
      <w:ind/>
      <w:jc w:val="both"/>
    </w:pPr>
    <w:rPr>
      <w:rFonts w:ascii="XO Thames" w:hAnsi="XO Thames"/>
    </w:rPr>
  </w:style>
  <w:style w:styleId="Style_64_ch" w:type="character">
    <w:name w:val="Header and Footer"/>
    <w:link w:val="Style_64"/>
    <w:rPr>
      <w:rFonts w:ascii="XO Thames" w:hAnsi="XO Thames"/>
    </w:rPr>
  </w:style>
  <w:style w:styleId="Style_65" w:type="paragraph">
    <w:name w:val="Название книги1"/>
    <w:link w:val="Style_65_ch"/>
    <w:rPr>
      <w:b w:val="1"/>
      <w:smallCaps w:val="1"/>
      <w:spacing w:val="5"/>
    </w:rPr>
  </w:style>
  <w:style w:styleId="Style_65_ch" w:type="character">
    <w:name w:val="Название книги1"/>
    <w:link w:val="Style_65"/>
    <w:rPr>
      <w:b w:val="1"/>
      <w:smallCaps w:val="1"/>
      <w:spacing w:val="5"/>
    </w:rPr>
  </w:style>
  <w:style w:styleId="Style_66" w:type="paragraph">
    <w:name w:val="Обычный1"/>
    <w:link w:val="Style_66_ch"/>
    <w:rPr>
      <w:sz w:val="22"/>
    </w:rPr>
  </w:style>
  <w:style w:styleId="Style_66_ch" w:type="character">
    <w:name w:val="Обычный1"/>
    <w:link w:val="Style_66"/>
    <w:rPr>
      <w:sz w:val="22"/>
    </w:rPr>
  </w:style>
  <w:style w:styleId="Style_67" w:type="paragraph">
    <w:name w:val="НЗФ_Заголовок_Состав"/>
    <w:next w:val="Style_6"/>
    <w:link w:val="Style_67_ch"/>
    <w:pPr>
      <w:spacing w:after="100" w:before="100"/>
      <w:ind/>
      <w:jc w:val="center"/>
      <w:outlineLvl w:val="0"/>
    </w:pPr>
    <w:rPr>
      <w:rFonts w:ascii="Times New Roman" w:hAnsi="Times New Roman"/>
      <w:b w:val="1"/>
      <w:caps w:val="1"/>
      <w:sz w:val="26"/>
    </w:rPr>
  </w:style>
  <w:style w:styleId="Style_67_ch" w:type="character">
    <w:name w:val="НЗФ_Заголовок_Состав"/>
    <w:link w:val="Style_67"/>
    <w:rPr>
      <w:rFonts w:ascii="Times New Roman" w:hAnsi="Times New Roman"/>
      <w:b w:val="1"/>
      <w:caps w:val="1"/>
      <w:sz w:val="26"/>
    </w:rPr>
  </w:style>
  <w:style w:styleId="Style_68" w:type="paragraph">
    <w:name w:val="toc 9"/>
    <w:next w:val="Style_6"/>
    <w:link w:val="Style_68_ch"/>
    <w:uiPriority w:val="39"/>
    <w:pPr>
      <w:ind w:firstLine="0" w:left="1600"/>
    </w:pPr>
    <w:rPr>
      <w:rFonts w:ascii="XO Thames" w:hAnsi="XO Thames"/>
      <w:sz w:val="28"/>
    </w:rPr>
  </w:style>
  <w:style w:styleId="Style_68_ch" w:type="character">
    <w:name w:val="toc 9"/>
    <w:link w:val="Style_68"/>
    <w:rPr>
      <w:rFonts w:ascii="XO Thames" w:hAnsi="XO Thames"/>
      <w:sz w:val="28"/>
    </w:rPr>
  </w:style>
  <w:style w:styleId="Style_1" w:type="paragraph">
    <w:name w:val="foot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6_ch"/>
    <w:link w:val="Style_1"/>
  </w:style>
  <w:style w:styleId="Style_69" w:type="paragraph">
    <w:name w:val="Выделение1"/>
    <w:link w:val="Style_69_ch"/>
    <w:rPr>
      <w:i w:val="1"/>
    </w:rPr>
  </w:style>
  <w:style w:styleId="Style_69_ch" w:type="character">
    <w:name w:val="Выделение1"/>
    <w:link w:val="Style_69"/>
    <w:rPr>
      <w:i w:val="1"/>
    </w:rPr>
  </w:style>
  <w:style w:styleId="Style_70" w:type="paragraph">
    <w:name w:val="Основной текст 21"/>
    <w:basedOn w:val="Style_6"/>
    <w:link w:val="Style_70_ch"/>
    <w:pPr>
      <w:spacing w:after="0" w:line="360" w:lineRule="auto"/>
      <w:ind w:firstLine="720" w:left="0"/>
      <w:jc w:val="both"/>
    </w:pPr>
    <w:rPr>
      <w:rFonts w:ascii="Arial" w:hAnsi="Arial"/>
      <w:sz w:val="24"/>
    </w:rPr>
  </w:style>
  <w:style w:styleId="Style_70_ch" w:type="character">
    <w:name w:val="Основной текст 21"/>
    <w:basedOn w:val="Style_6_ch"/>
    <w:link w:val="Style_70"/>
    <w:rPr>
      <w:rFonts w:ascii="Arial" w:hAnsi="Arial"/>
      <w:sz w:val="24"/>
    </w:rPr>
  </w:style>
  <w:style w:styleId="Style_71" w:type="paragraph">
    <w:name w:val="No Spacing"/>
    <w:link w:val="Style_71_ch"/>
    <w:rPr>
      <w:sz w:val="22"/>
    </w:rPr>
  </w:style>
  <w:style w:styleId="Style_71_ch" w:type="character">
    <w:name w:val="No Spacing"/>
    <w:link w:val="Style_71"/>
    <w:rPr>
      <w:sz w:val="22"/>
    </w:rPr>
  </w:style>
  <w:style w:styleId="Style_72" w:type="paragraph">
    <w:name w:val="НЗФ_Подзаголовок в тексте"/>
    <w:next w:val="Style_6"/>
    <w:link w:val="Style_72_ch"/>
    <w:pPr>
      <w:keepNext w:val="1"/>
      <w:keepLines w:val="1"/>
      <w:numPr>
        <w:ilvl w:val="3"/>
        <w:numId w:val="4"/>
      </w:numPr>
      <w:spacing w:after="100" w:before="100"/>
      <w:ind/>
      <w:outlineLvl w:val="3"/>
    </w:pPr>
    <w:rPr>
      <w:rFonts w:ascii="Times New Roman" w:hAnsi="Times New Roman"/>
      <w:sz w:val="24"/>
      <w:u w:val="single"/>
    </w:rPr>
  </w:style>
  <w:style w:styleId="Style_72_ch" w:type="character">
    <w:name w:val="НЗФ_Подзаголовок в тексте"/>
    <w:link w:val="Style_72"/>
    <w:rPr>
      <w:rFonts w:ascii="Times New Roman" w:hAnsi="Times New Roman"/>
      <w:sz w:val="24"/>
      <w:u w:val="single"/>
    </w:rPr>
  </w:style>
  <w:style w:styleId="Style_73" w:type="paragraph">
    <w:name w:val="apple-converted-space"/>
    <w:basedOn w:val="Style_17"/>
    <w:link w:val="Style_73_ch"/>
  </w:style>
  <w:style w:styleId="Style_73_ch" w:type="character">
    <w:name w:val="apple-converted-space"/>
    <w:basedOn w:val="Style_17_ch"/>
    <w:link w:val="Style_73"/>
  </w:style>
  <w:style w:styleId="Style_74" w:type="paragraph">
    <w:name w:val="toc 8"/>
    <w:next w:val="Style_6"/>
    <w:link w:val="Style_74_ch"/>
    <w:uiPriority w:val="39"/>
    <w:pPr>
      <w:ind w:firstLine="0" w:left="1400"/>
    </w:pPr>
    <w:rPr>
      <w:rFonts w:ascii="XO Thames" w:hAnsi="XO Thames"/>
      <w:sz w:val="28"/>
    </w:rPr>
  </w:style>
  <w:style w:styleId="Style_74_ch" w:type="character">
    <w:name w:val="toc 8"/>
    <w:link w:val="Style_74"/>
    <w:rPr>
      <w:rFonts w:ascii="XO Thames" w:hAnsi="XO Thames"/>
      <w:sz w:val="28"/>
    </w:rPr>
  </w:style>
  <w:style w:styleId="Style_75" w:type="paragraph">
    <w:name w:val="НЗФ_ЗАГОЛОВОК 1.1."/>
    <w:next w:val="Style_6"/>
    <w:link w:val="Style_75_ch"/>
    <w:pPr>
      <w:keepNext w:val="1"/>
      <w:keepLines w:val="1"/>
      <w:numPr>
        <w:ilvl w:val="1"/>
        <w:numId w:val="4"/>
      </w:numPr>
      <w:spacing w:after="200" w:before="200"/>
      <w:ind/>
      <w:outlineLvl w:val="1"/>
    </w:pPr>
    <w:rPr>
      <w:rFonts w:ascii="Times New Roman" w:hAnsi="Times New Roman"/>
      <w:b w:val="1"/>
      <w:sz w:val="26"/>
    </w:rPr>
  </w:style>
  <w:style w:styleId="Style_75_ch" w:type="character">
    <w:name w:val="НЗФ_ЗАГОЛОВОК 1.1."/>
    <w:link w:val="Style_75"/>
    <w:rPr>
      <w:rFonts w:ascii="Times New Roman" w:hAnsi="Times New Roman"/>
      <w:b w:val="1"/>
      <w:sz w:val="26"/>
    </w:rPr>
  </w:style>
  <w:style w:styleId="Style_76" w:type="paragraph">
    <w:name w:val="apple-style-span"/>
    <w:basedOn w:val="Style_17"/>
    <w:link w:val="Style_76_ch"/>
  </w:style>
  <w:style w:styleId="Style_76_ch" w:type="character">
    <w:name w:val="apple-style-span"/>
    <w:basedOn w:val="Style_17_ch"/>
    <w:link w:val="Style_76"/>
  </w:style>
  <w:style w:styleId="Style_77" w:type="paragraph">
    <w:name w:val="Слабое выделение1"/>
    <w:link w:val="Style_77_ch"/>
    <w:rPr>
      <w:i w:val="1"/>
      <w:color w:val="808080"/>
    </w:rPr>
  </w:style>
  <w:style w:styleId="Style_77_ch" w:type="character">
    <w:name w:val="Слабое выделение1"/>
    <w:link w:val="Style_77"/>
    <w:rPr>
      <w:i w:val="1"/>
      <w:color w:val="808080"/>
    </w:rPr>
  </w:style>
  <w:style w:styleId="Style_78" w:type="paragraph">
    <w:name w:val="ОГП_Список"/>
    <w:basedOn w:val="Style_6"/>
    <w:link w:val="Style_78_ch"/>
    <w:pPr>
      <w:numPr>
        <w:numId w:val="6"/>
      </w:numPr>
      <w:tabs>
        <w:tab w:leader="none" w:pos="1134" w:val="left"/>
      </w:tabs>
      <w:spacing w:after="0" w:line="240" w:lineRule="auto"/>
      <w:ind/>
      <w:jc w:val="both"/>
    </w:pPr>
    <w:rPr>
      <w:rFonts w:ascii="Times New Roman" w:hAnsi="Times New Roman"/>
      <w:sz w:val="28"/>
    </w:rPr>
  </w:style>
  <w:style w:styleId="Style_78_ch" w:type="character">
    <w:name w:val="ОГП_Список"/>
    <w:basedOn w:val="Style_6_ch"/>
    <w:link w:val="Style_78"/>
    <w:rPr>
      <w:rFonts w:ascii="Times New Roman" w:hAnsi="Times New Roman"/>
      <w:sz w:val="28"/>
    </w:rPr>
  </w:style>
  <w:style w:styleId="Style_79" w:type="paragraph">
    <w:name w:val="toc 5"/>
    <w:next w:val="Style_6"/>
    <w:link w:val="Style_79_ch"/>
    <w:uiPriority w:val="39"/>
    <w:pPr>
      <w:ind w:firstLine="0" w:left="800"/>
    </w:pPr>
    <w:rPr>
      <w:rFonts w:ascii="XO Thames" w:hAnsi="XO Thames"/>
      <w:sz w:val="28"/>
    </w:rPr>
  </w:style>
  <w:style w:styleId="Style_79_ch" w:type="character">
    <w:name w:val="toc 5"/>
    <w:link w:val="Style_79"/>
    <w:rPr>
      <w:rFonts w:ascii="XO Thames" w:hAnsi="XO Thames"/>
      <w:sz w:val="28"/>
    </w:rPr>
  </w:style>
  <w:style w:styleId="Style_80" w:type="paragraph">
    <w:name w:val="Сильное выделение1"/>
    <w:link w:val="Style_80_ch"/>
    <w:rPr>
      <w:b w:val="1"/>
      <w:i w:val="1"/>
      <w:color w:val="4F81BD"/>
    </w:rPr>
  </w:style>
  <w:style w:styleId="Style_80_ch" w:type="character">
    <w:name w:val="Сильное выделение1"/>
    <w:link w:val="Style_80"/>
    <w:rPr>
      <w:b w:val="1"/>
      <w:i w:val="1"/>
      <w:color w:val="4F81BD"/>
    </w:rPr>
  </w:style>
  <w:style w:styleId="Style_81" w:type="paragraph">
    <w:name w:val="Знак сноски1"/>
    <w:link w:val="Style_81_ch"/>
    <w:rPr>
      <w:vertAlign w:val="superscript"/>
    </w:rPr>
  </w:style>
  <w:style w:styleId="Style_81_ch" w:type="character">
    <w:name w:val="Знак сноски1"/>
    <w:link w:val="Style_81"/>
    <w:rPr>
      <w:vertAlign w:val="superscript"/>
    </w:rPr>
  </w:style>
  <w:style w:styleId="Style_82" w:type="paragraph">
    <w:name w:val="НЗФ_Заголовок 1.1.1"/>
    <w:next w:val="Style_6"/>
    <w:link w:val="Style_82_ch"/>
    <w:pPr>
      <w:keepNext w:val="1"/>
      <w:keepLines w:val="1"/>
      <w:numPr>
        <w:ilvl w:val="2"/>
        <w:numId w:val="4"/>
      </w:numPr>
      <w:spacing w:after="200" w:before="200"/>
      <w:ind/>
      <w:outlineLvl w:val="2"/>
    </w:pPr>
    <w:rPr>
      <w:rFonts w:ascii="Times New Roman" w:hAnsi="Times New Roman"/>
      <w:b w:val="1"/>
      <w:sz w:val="24"/>
    </w:rPr>
  </w:style>
  <w:style w:styleId="Style_82_ch" w:type="character">
    <w:name w:val="НЗФ_Заголовок 1.1.1"/>
    <w:link w:val="Style_82"/>
    <w:rPr>
      <w:rFonts w:ascii="Times New Roman" w:hAnsi="Times New Roman"/>
      <w:b w:val="1"/>
      <w:sz w:val="24"/>
    </w:rPr>
  </w:style>
  <w:style w:styleId="Style_83" w:type="paragraph">
    <w:name w:val="НЗФ_Неутвержденный абзац"/>
    <w:basedOn w:val="Style_5"/>
    <w:link w:val="Style_83_ch"/>
    <w:pPr>
      <w:spacing w:after="0"/>
      <w:ind w:firstLine="706" w:left="0"/>
      <w:jc w:val="both"/>
    </w:pPr>
    <w:rPr>
      <w:rFonts w:ascii="Times New Roman" w:hAnsi="Times New Roman"/>
      <w:color w:val="365F91"/>
      <w:sz w:val="24"/>
    </w:rPr>
  </w:style>
  <w:style w:styleId="Style_83_ch" w:type="character">
    <w:name w:val="НЗФ_Неутвержденный абзац"/>
    <w:basedOn w:val="Style_5_ch"/>
    <w:link w:val="Style_83"/>
    <w:rPr>
      <w:rFonts w:ascii="Times New Roman" w:hAnsi="Times New Roman"/>
      <w:color w:val="365F91"/>
      <w:sz w:val="24"/>
    </w:rPr>
  </w:style>
  <w:style w:styleId="Style_84" w:type="paragraph">
    <w:name w:val="Body Text"/>
    <w:basedOn w:val="Style_6"/>
    <w:link w:val="Style_84_ch"/>
    <w:pPr>
      <w:widowControl w:val="0"/>
      <w:spacing w:after="0" w:before="120" w:line="240" w:lineRule="auto"/>
      <w:ind w:firstLine="566" w:left="232"/>
    </w:pPr>
    <w:rPr>
      <w:rFonts w:ascii="Times New Roman" w:hAnsi="Times New Roman"/>
      <w:sz w:val="24"/>
    </w:rPr>
  </w:style>
  <w:style w:styleId="Style_84_ch" w:type="character">
    <w:name w:val="Body Text"/>
    <w:basedOn w:val="Style_6_ch"/>
    <w:link w:val="Style_84"/>
    <w:rPr>
      <w:rFonts w:ascii="Times New Roman" w:hAnsi="Times New Roman"/>
      <w:sz w:val="24"/>
    </w:rPr>
  </w:style>
  <w:style w:styleId="Style_85" w:type="paragraph">
    <w:name w:val="Subtitle"/>
    <w:basedOn w:val="Style_6"/>
    <w:next w:val="Style_6"/>
    <w:link w:val="Style_85_ch"/>
    <w:uiPriority w:val="11"/>
    <w:qFormat/>
    <w:pPr>
      <w:numPr>
        <w:ilvl w:val="1"/>
      </w:numPr>
    </w:pPr>
    <w:rPr>
      <w:rFonts w:ascii="Cambria" w:hAnsi="Cambria"/>
      <w:i w:val="1"/>
      <w:color w:val="4F81BD"/>
      <w:spacing w:val="15"/>
      <w:sz w:val="24"/>
    </w:rPr>
  </w:style>
  <w:style w:styleId="Style_85_ch" w:type="character">
    <w:name w:val="Subtitle"/>
    <w:basedOn w:val="Style_6_ch"/>
    <w:link w:val="Style_85"/>
    <w:rPr>
      <w:rFonts w:ascii="Cambria" w:hAnsi="Cambria"/>
      <w:i w:val="1"/>
      <w:color w:val="4F81BD"/>
      <w:spacing w:val="15"/>
      <w:sz w:val="24"/>
    </w:rPr>
  </w:style>
  <w:style w:styleId="Style_86" w:type="paragraph">
    <w:name w:val="TOC Heading"/>
    <w:basedOn w:val="Style_54"/>
    <w:next w:val="Style_6"/>
    <w:link w:val="Style_86_ch"/>
    <w:pPr>
      <w:ind/>
      <w:outlineLvl w:val="8"/>
    </w:pPr>
  </w:style>
  <w:style w:styleId="Style_86_ch" w:type="character">
    <w:name w:val="TOC Heading"/>
    <w:basedOn w:val="Style_54_ch"/>
    <w:link w:val="Style_86"/>
  </w:style>
  <w:style w:styleId="Style_87" w:type="paragraph">
    <w:name w:val="Title"/>
    <w:next w:val="Style_6"/>
    <w:link w:val="Style_8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87_ch" w:type="character">
    <w:name w:val="Title"/>
    <w:link w:val="Style_87"/>
    <w:rPr>
      <w:rFonts w:ascii="XO Thames" w:hAnsi="XO Thames"/>
      <w:b w:val="1"/>
      <w:caps w:val="1"/>
      <w:sz w:val="40"/>
    </w:rPr>
  </w:style>
  <w:style w:styleId="Style_88" w:type="paragraph">
    <w:name w:val="heading 4"/>
    <w:basedOn w:val="Style_6"/>
    <w:next w:val="Style_6"/>
    <w:link w:val="Style_88_ch"/>
    <w:uiPriority w:val="9"/>
    <w:qFormat/>
    <w:pPr>
      <w:keepNext w:val="1"/>
      <w:keepLines w:val="1"/>
      <w:spacing w:after="0" w:before="200"/>
      <w:ind/>
      <w:outlineLvl w:val="3"/>
    </w:pPr>
    <w:rPr>
      <w:rFonts w:ascii="Cambria" w:hAnsi="Cambria"/>
      <w:b w:val="1"/>
      <w:i w:val="1"/>
      <w:color w:val="4F81BD"/>
    </w:rPr>
  </w:style>
  <w:style w:styleId="Style_88_ch" w:type="character">
    <w:name w:val="heading 4"/>
    <w:basedOn w:val="Style_6_ch"/>
    <w:link w:val="Style_88"/>
    <w:rPr>
      <w:rFonts w:ascii="Cambria" w:hAnsi="Cambria"/>
      <w:b w:val="1"/>
      <w:i w:val="1"/>
      <w:color w:val="4F81BD"/>
    </w:rPr>
  </w:style>
  <w:style w:styleId="Style_48" w:type="paragraph">
    <w:name w:val="annotation text"/>
    <w:basedOn w:val="Style_6"/>
    <w:link w:val="Style_48_ch"/>
    <w:pPr>
      <w:spacing w:line="240" w:lineRule="auto"/>
      <w:ind/>
    </w:pPr>
    <w:rPr>
      <w:sz w:val="20"/>
    </w:rPr>
  </w:style>
  <w:style w:styleId="Style_48_ch" w:type="character">
    <w:name w:val="annotation text"/>
    <w:basedOn w:val="Style_6_ch"/>
    <w:link w:val="Style_48"/>
    <w:rPr>
      <w:sz w:val="20"/>
    </w:rPr>
  </w:style>
  <w:style w:styleId="Style_89" w:type="paragraph">
    <w:name w:val="Абзац списка2"/>
    <w:basedOn w:val="Style_6"/>
    <w:link w:val="Style_89_ch"/>
    <w:pPr>
      <w:widowControl w:val="0"/>
      <w:spacing w:after="0" w:before="4" w:line="240" w:lineRule="auto"/>
      <w:ind w:firstLine="708" w:left="102"/>
      <w:jc w:val="both"/>
    </w:pPr>
    <w:rPr>
      <w:rFonts w:ascii="Times New Roman" w:hAnsi="Times New Roman"/>
    </w:rPr>
  </w:style>
  <w:style w:styleId="Style_89_ch" w:type="character">
    <w:name w:val="Абзац списка2"/>
    <w:basedOn w:val="Style_6_ch"/>
    <w:link w:val="Style_89"/>
    <w:rPr>
      <w:rFonts w:ascii="Times New Roman" w:hAnsi="Times New Roman"/>
    </w:rPr>
  </w:style>
  <w:style w:styleId="Style_90" w:type="paragraph">
    <w:name w:val="heading 2"/>
    <w:basedOn w:val="Style_6"/>
    <w:next w:val="Style_6"/>
    <w:link w:val="Style_90_ch"/>
    <w:uiPriority w:val="9"/>
    <w:qFormat/>
    <w:pPr>
      <w:keepNext w:val="1"/>
      <w:keepLines w:val="1"/>
      <w:spacing w:after="0" w:before="200"/>
      <w:ind/>
      <w:outlineLvl w:val="1"/>
    </w:pPr>
    <w:rPr>
      <w:rFonts w:ascii="Cambria" w:hAnsi="Cambria"/>
      <w:b w:val="1"/>
      <w:color w:val="4F81BD"/>
      <w:sz w:val="26"/>
    </w:rPr>
  </w:style>
  <w:style w:styleId="Style_90_ch" w:type="character">
    <w:name w:val="heading 2"/>
    <w:basedOn w:val="Style_6_ch"/>
    <w:link w:val="Style_90"/>
    <w:rPr>
      <w:rFonts w:ascii="Cambria" w:hAnsi="Cambria"/>
      <w:b w:val="1"/>
      <w:color w:val="4F81BD"/>
      <w:sz w:val="26"/>
    </w:rPr>
  </w:style>
  <w:style w:styleId="Style_91" w:type="paragraph">
    <w:name w:val="Normal (Web)"/>
    <w:basedOn w:val="Style_6"/>
    <w:link w:val="Style_9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1_ch" w:type="character">
    <w:name w:val="Normal (Web)"/>
    <w:basedOn w:val="Style_6_ch"/>
    <w:link w:val="Style_91"/>
    <w:rPr>
      <w:rFonts w:ascii="Times New Roman" w:hAnsi="Times New Roman"/>
      <w:sz w:val="24"/>
    </w:rPr>
  </w:style>
  <w:style w:styleId="Style_92" w:type="paragraph">
    <w:name w:val="nowrap"/>
    <w:basedOn w:val="Style_17"/>
    <w:link w:val="Style_92_ch"/>
  </w:style>
  <w:style w:styleId="Style_92_ch" w:type="character">
    <w:name w:val="nowrap"/>
    <w:basedOn w:val="Style_17_ch"/>
    <w:link w:val="Style_92"/>
  </w:style>
  <w:style w:styleId="Style_93" w:type="paragraph">
    <w:name w:val="heading 6"/>
    <w:basedOn w:val="Style_6"/>
    <w:next w:val="Style_6"/>
    <w:link w:val="Style_93_ch"/>
    <w:uiPriority w:val="9"/>
    <w:qFormat/>
    <w:pPr>
      <w:keepNext w:val="1"/>
      <w:keepLines w:val="1"/>
      <w:spacing w:after="0" w:before="200"/>
      <w:ind/>
      <w:outlineLvl w:val="5"/>
    </w:pPr>
    <w:rPr>
      <w:rFonts w:ascii="Cambria" w:hAnsi="Cambria"/>
      <w:i w:val="1"/>
      <w:color w:val="243F60"/>
    </w:rPr>
  </w:style>
  <w:style w:styleId="Style_93_ch" w:type="character">
    <w:name w:val="heading 6"/>
    <w:basedOn w:val="Style_6_ch"/>
    <w:link w:val="Style_93"/>
    <w:rPr>
      <w:rFonts w:ascii="Cambria" w:hAnsi="Cambria"/>
      <w:i w:val="1"/>
      <w:color w:val="243F60"/>
    </w:rPr>
  </w:style>
  <w:style w:default="1" w:styleId="Style_9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95" w:type="table">
    <w:name w:val="Сетка таблицы1"/>
    <w:basedOn w:val="Style_9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6" w:type="table">
    <w:name w:val="Table Normal1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97" w:type="table">
    <w:name w:val="Сетка таблицы2"/>
    <w:basedOn w:val="Style_9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4" w:type="table">
    <w:name w:val="Table Grid"/>
    <w:basedOn w:val="Style_9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8" w:type="table">
    <w:name w:val="Сетка таблицы11"/>
    <w:basedOn w:val="Style_9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99" w:type="table">
    <w:name w:val="Сетка таблицы3"/>
    <w:basedOn w:val="Style_9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00" w:type="table">
    <w:name w:val="Table Normal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101" w:type="table">
    <w:name w:val="Table Normal2"/>
    <w:pPr>
      <w:widowControl w:val="0"/>
      <w:ind/>
    </w:pPr>
    <w:rPr>
      <w:sz w:val="22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102" w:type="table">
    <w:name w:val="Сетка таблицы4"/>
    <w:basedOn w:val="Style_94"/>
    <w:rPr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Сетка таблицы6"/>
    <w:basedOn w:val="Style_94"/>
    <w:rPr>
      <w:rFonts w:asciiTheme="minorAscii" w:hAnsiTheme="minorHAnsi"/>
      <w:color w:val="000000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3.jpeg" Type="http://schemas.openxmlformats.org/officeDocument/2006/relationships/image"/>
  <Relationship Id="rId7" Target="media/2.jpeg" Type="http://schemas.openxmlformats.org/officeDocument/2006/relationships/image"/>
  <Relationship Id="rId14" Target="theme/theme1.xml" Type="http://schemas.openxmlformats.org/officeDocument/2006/relationships/theme"/>
  <Relationship Id="rId6" Target="media/1.jpeg" Type="http://schemas.openxmlformats.org/officeDocument/2006/relationships/image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12" Target="stylesWithEffects.xml" Type="http://schemas.microsoft.com/office/2007/relationships/stylesWithEffects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2023-11-30T03:59:49Z</dcterms:modified>
</cp:coreProperties>
</file>