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7000000">
      <w:pPr>
        <w:pStyle w:val="Style_2"/>
        <w:widowControl w:val="1"/>
        <w:ind w:firstLine="708" w:left="0"/>
        <w:jc w:val="right"/>
        <w:outlineLvl w:val="1"/>
        <w:rPr>
          <w:rFonts w:ascii="Times New Roman" w:hAnsi="Times New Roman"/>
          <w:b w:val="0"/>
          <w:sz w:val="28"/>
        </w:rPr>
      </w:pPr>
    </w:p>
    <w:p w14:paraId="08000000">
      <w:pPr>
        <w:pStyle w:val="Style_2"/>
        <w:widowControl w:val="1"/>
        <w:ind w:firstLine="708" w:left="0"/>
        <w:jc w:val="right"/>
        <w:outlineLvl w:val="1"/>
        <w:rPr>
          <w:rFonts w:ascii="Times New Roman" w:hAnsi="Times New Roman"/>
          <w:b w:val="0"/>
          <w:sz w:val="28"/>
        </w:rPr>
      </w:pP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>СОВЕТ ПОЛТАВСКОГО  МУНИЦИПАЛЬНОГО  РАЙОНА  ОМСКОЙ  ОБЛАСТИ</w:t>
      </w:r>
    </w:p>
    <w:p w14:paraId="0A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0C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29 марта 2024 года                                                                                             №  17</w:t>
      </w:r>
    </w:p>
    <w:p w14:paraId="0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0E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0F000000">
      <w:pPr>
        <w:tabs>
          <w:tab w:leader="none" w:pos="2820" w:val="lef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 утверждении </w:t>
      </w:r>
      <w:r>
        <w:rPr>
          <w:rFonts w:ascii="Times New Roman" w:hAnsi="Times New Roman"/>
          <w:sz w:val="28"/>
        </w:rPr>
        <w:t>Генерального</w:t>
      </w:r>
      <w:r>
        <w:rPr>
          <w:rFonts w:ascii="Times New Roman" w:hAnsi="Times New Roman"/>
          <w:sz w:val="28"/>
        </w:rPr>
        <w:t xml:space="preserve"> </w:t>
      </w:r>
    </w:p>
    <w:p w14:paraId="10000000">
      <w:pPr>
        <w:tabs>
          <w:tab w:leader="none" w:pos="2820" w:val="lef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плана </w:t>
      </w:r>
      <w:r>
        <w:rPr>
          <w:rFonts w:ascii="Times New Roman" w:hAnsi="Times New Roman"/>
          <w:sz w:val="28"/>
        </w:rPr>
        <w:t>Ольгинского</w:t>
      </w:r>
      <w:r>
        <w:rPr>
          <w:rFonts w:ascii="Times New Roman" w:hAnsi="Times New Roman"/>
          <w:sz w:val="28"/>
        </w:rPr>
        <w:t xml:space="preserve"> сельского</w:t>
      </w:r>
    </w:p>
    <w:p w14:paraId="11000000">
      <w:pPr>
        <w:tabs>
          <w:tab w:leader="none" w:pos="2820" w:val="lef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поселения Полтавского </w:t>
      </w:r>
    </w:p>
    <w:p w14:paraId="12000000">
      <w:pPr>
        <w:tabs>
          <w:tab w:leader="none" w:pos="2820" w:val="lef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муниципального района</w:t>
      </w:r>
    </w:p>
    <w:p w14:paraId="13000000">
      <w:pPr>
        <w:tabs>
          <w:tab w:leader="none" w:pos="2820" w:val="lef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Омской области </w:t>
      </w:r>
    </w:p>
    <w:p w14:paraId="14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5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Руководствуясь Федеральным законом от 06.10.2003 г. № 131-ФЗ «Об общих принципах организации местного самоуправления в Российской Федерации», Градостроительным Кодексом Российской Федерации, У</w:t>
      </w:r>
      <w:r>
        <w:rPr>
          <w:rFonts w:ascii="Times New Roman" w:hAnsi="Times New Roman"/>
          <w:sz w:val="28"/>
        </w:rPr>
        <w:t xml:space="preserve">ставом Полтавского муниципального района Омской области, Совет Полтавского муниципального района Омской области </w:t>
      </w:r>
    </w:p>
    <w:p w14:paraId="1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1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РЕШИЛ: </w:t>
      </w:r>
    </w:p>
    <w:p w14:paraId="1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1A000000">
      <w:pPr>
        <w:tabs>
          <w:tab w:leader="none" w:pos="2820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Утвердить Генеральный план </w:t>
      </w:r>
      <w:r>
        <w:rPr>
          <w:rFonts w:ascii="Times New Roman" w:hAnsi="Times New Roman"/>
          <w:sz w:val="28"/>
        </w:rPr>
        <w:t>Ольгинского</w:t>
      </w:r>
      <w:r>
        <w:rPr>
          <w:rFonts w:ascii="Times New Roman" w:hAnsi="Times New Roman"/>
          <w:sz w:val="28"/>
        </w:rPr>
        <w:t xml:space="preserve"> сельского поселения Полтавского муниципального района Омской области согласно приложениям к</w:t>
      </w:r>
      <w:r>
        <w:rPr>
          <w:rFonts w:ascii="Times New Roman" w:hAnsi="Times New Roman"/>
          <w:sz w:val="28"/>
        </w:rPr>
        <w:t xml:space="preserve"> настоящему решению.</w:t>
      </w:r>
    </w:p>
    <w:p w14:paraId="1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решение опубликовать (обнародовать).</w:t>
      </w:r>
    </w:p>
    <w:p w14:paraId="1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1D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E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 Совета Полтавского</w:t>
      </w:r>
    </w:p>
    <w:p w14:paraId="1F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муниципального района                                                                В.И. </w:t>
      </w:r>
      <w:r>
        <w:rPr>
          <w:rFonts w:ascii="Times New Roman" w:hAnsi="Times New Roman"/>
          <w:sz w:val="28"/>
        </w:rPr>
        <w:t>Бондарюк</w:t>
      </w:r>
    </w:p>
    <w:p w14:paraId="20000000">
      <w:pPr>
        <w:sectPr>
          <w:footerReference r:id="rId1" w:type="default"/>
          <w:pgSz w:h="16848" w:orient="portrait" w:w="11908"/>
          <w:pgMar w:bottom="1134" w:footer="851" w:gutter="0" w:header="851" w:left="1134" w:right="1134" w:top="567"/>
          <w:pgNumType w:start="3"/>
        </w:sectPr>
      </w:pPr>
    </w:p>
    <w:p w14:paraId="21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2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3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4000000">
      <w:pPr>
        <w:spacing w:after="240" w:before="120" w:line="240" w:lineRule="auto"/>
        <w:ind w:firstLine="425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1 </w:t>
      </w:r>
      <w:r>
        <w:rPr>
          <w:rFonts w:ascii="Times New Roman" w:hAnsi="Times New Roman"/>
          <w:b w:val="1"/>
          <w:sz w:val="24"/>
        </w:rPr>
        <w:t>C</w:t>
      </w:r>
      <w:r>
        <w:rPr>
          <w:rFonts w:ascii="Times New Roman" w:hAnsi="Times New Roman"/>
          <w:b w:val="1"/>
          <w:sz w:val="24"/>
        </w:rPr>
        <w:t>ведения</w:t>
      </w:r>
      <w:r>
        <w:rPr>
          <w:rFonts w:ascii="Times New Roman" w:hAnsi="Times New Roman"/>
          <w:b w:val="1"/>
          <w:sz w:val="24"/>
        </w:rPr>
        <w:t xml:space="preserve"> о видах, назначении и наименованиях </w:t>
      </w:r>
      <w:r>
        <w:rPr>
          <w:rFonts w:ascii="Times New Roman" w:hAnsi="Times New Roman"/>
          <w:b w:val="1"/>
          <w:sz w:val="24"/>
        </w:rPr>
        <w:t>планируемых для размещения объектов местного значения,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</w:t>
      </w:r>
      <w:r>
        <w:rPr>
          <w:rFonts w:ascii="Times New Roman" w:hAnsi="Times New Roman"/>
          <w:b w:val="1"/>
          <w:sz w:val="24"/>
        </w:rPr>
        <w:t>тов</w:t>
      </w:r>
    </w:p>
    <w:p w14:paraId="25000000">
      <w:pPr>
        <w:spacing w:after="120" w:before="120" w:line="240" w:lineRule="auto"/>
        <w:ind w:firstLine="425" w:left="0" w:right="-492"/>
        <w:jc w:val="right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Таблица 1</w:t>
      </w:r>
    </w:p>
    <w:tbl>
      <w:tblPr>
        <w:tblStyle w:val="Style_3"/>
        <w:tblInd w:type="dxa" w:w="-43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1843"/>
        <w:gridCol w:w="2835"/>
        <w:gridCol w:w="2835"/>
        <w:gridCol w:w="2550"/>
        <w:gridCol w:w="2187"/>
        <w:gridCol w:w="2693"/>
      </w:tblGrid>
      <w:tr>
        <w:trPr>
          <w:trHeight w:hRule="atLeast" w:val="994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№</w:t>
            </w:r>
          </w:p>
          <w:p w14:paraId="27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</w:t>
            </w:r>
            <w:r>
              <w:rPr>
                <w:rFonts w:ascii="Times New Roman" w:hAnsi="Times New Roman"/>
                <w:b w:val="1"/>
                <w:sz w:val="20"/>
              </w:rPr>
              <w:t>/</w:t>
            </w:r>
            <w:r>
              <w:rPr>
                <w:rFonts w:ascii="Times New Roman" w:hAnsi="Times New Roman"/>
                <w:b w:val="1"/>
                <w:sz w:val="20"/>
              </w:rPr>
              <w:t>п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Назначение объекта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Наименование объекта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Основные характеристики объекта</w:t>
            </w:r>
          </w:p>
        </w:tc>
        <w:tc>
          <w:tcPr>
            <w:tcW w:type="dxa" w:w="2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Местоположение объекта</w:t>
            </w:r>
          </w:p>
        </w:tc>
        <w:tc>
          <w:tcPr>
            <w:tcW w:type="dxa" w:w="2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Функциональная зона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Характеристики зон с особыми условиями использования территории, установление которых требуется в связи с размещением объ</w:t>
            </w:r>
            <w:r>
              <w:rPr>
                <w:rFonts w:ascii="Times New Roman" w:hAnsi="Times New Roman"/>
                <w:b w:val="1"/>
                <w:sz w:val="20"/>
              </w:rPr>
              <w:t>екта</w:t>
            </w:r>
          </w:p>
        </w:tc>
      </w:tr>
      <w:tr>
        <w:trPr>
          <w:trHeight w:hRule="atLeast" w:val="337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</w:t>
            </w:r>
          </w:p>
        </w:tc>
        <w:tc>
          <w:tcPr>
            <w:tcW w:type="dxa" w:w="14943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Объекты физической культуры и спорта</w:t>
            </w:r>
          </w:p>
        </w:tc>
      </w:tr>
      <w:tr>
        <w:trPr>
          <w:trHeight w:hRule="atLeast" w:val="337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1.1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Развитие инфраструктуры физической культуры и спорта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Спортивная площадка (строительство)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Единовременная пропускная способность 30 человек</w:t>
            </w:r>
          </w:p>
        </w:tc>
        <w:tc>
          <w:tcPr>
            <w:tcW w:type="dxa" w:w="2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. Георгиевка,</w:t>
            </w:r>
          </w:p>
          <w:p w14:paraId="35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Центральная</w:t>
            </w:r>
          </w:p>
        </w:tc>
        <w:tc>
          <w:tcPr>
            <w:tcW w:type="dxa" w:w="2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Зона специализированной общественной </w:t>
            </w:r>
            <w:r>
              <w:rPr>
                <w:rFonts w:ascii="Times New Roman" w:hAnsi="Times New Roman"/>
                <w:sz w:val="20"/>
              </w:rPr>
              <w:t>застройки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</w:tr>
      <w:tr>
        <w:trPr>
          <w:trHeight w:hRule="atLeast" w:val="36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type="dxa" w:w="14943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Объекты транспортной инфраструктуры</w:t>
            </w:r>
          </w:p>
        </w:tc>
      </w:tr>
      <w:tr>
        <w:trPr>
          <w:trHeight w:hRule="atLeast" w:val="96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2.1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 транспортного обслуживания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Улично-дорожная сеть (строительство)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Протяженность ориентировочно 0,65 км</w:t>
            </w:r>
          </w:p>
        </w:tc>
        <w:tc>
          <w:tcPr>
            <w:tcW w:type="dxa" w:w="2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с</w:t>
            </w:r>
            <w:r>
              <w:rPr>
                <w:rFonts w:ascii="Times New Roman" w:hAnsi="Times New Roman"/>
                <w:sz w:val="19"/>
              </w:rPr>
              <w:t>. Георгиевка</w:t>
            </w:r>
          </w:p>
        </w:tc>
        <w:tc>
          <w:tcPr>
            <w:tcW w:type="dxa" w:w="2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</w:tr>
      <w:tr>
        <w:trPr>
          <w:trHeight w:hRule="atLeast" w:val="96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Организация транспортного </w:t>
            </w:r>
            <w:r>
              <w:rPr>
                <w:rFonts w:ascii="Times New Roman" w:hAnsi="Times New Roman"/>
                <w:sz w:val="20"/>
              </w:rPr>
              <w:t>обслуживания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Улично-дорожная сеть (строительство)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Протяженность ориентировочно 0,18 км</w:t>
            </w:r>
          </w:p>
        </w:tc>
        <w:tc>
          <w:tcPr>
            <w:tcW w:type="dxa" w:w="2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с. Ольгино</w:t>
            </w:r>
          </w:p>
        </w:tc>
        <w:tc>
          <w:tcPr>
            <w:tcW w:type="dxa" w:w="2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</w:tr>
      <w:tr>
        <w:trPr>
          <w:trHeight w:hRule="atLeast" w:val="35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</w:t>
            </w:r>
          </w:p>
        </w:tc>
        <w:tc>
          <w:tcPr>
            <w:tcW w:type="dxa" w:w="14943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Объекты утилизации, обезвреживания, размещения отходов производства и потребления</w:t>
            </w:r>
          </w:p>
        </w:tc>
      </w:tr>
      <w:tr>
        <w:trPr>
          <w:trHeight w:hRule="atLeast" w:val="96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3.1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отходов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Место несанкционированного </w:t>
            </w:r>
            <w:r>
              <w:rPr>
                <w:rFonts w:ascii="Times New Roman" w:hAnsi="Times New Roman"/>
                <w:sz w:val="20"/>
              </w:rPr>
              <w:t>размещения отходов производства и потребления (ликвидация)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 отходов 3,20 га.</w:t>
            </w:r>
          </w:p>
          <w:p w14:paraId="4E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Ориентировочный объем отходов 48000куб</w:t>
            </w:r>
            <w:r>
              <w:rPr>
                <w:rFonts w:ascii="Times New Roman" w:hAnsi="Times New Roman"/>
                <w:sz w:val="20"/>
              </w:rPr>
              <w:t>.м</w:t>
            </w:r>
          </w:p>
        </w:tc>
        <w:tc>
          <w:tcPr>
            <w:tcW w:type="dxa" w:w="2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00000">
            <w:pPr>
              <w:widowControl w:val="0"/>
              <w:ind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Примерно в 800 м от </w:t>
            </w:r>
            <w:r>
              <w:rPr>
                <w:rFonts w:ascii="Times New Roman" w:hAnsi="Times New Roman"/>
                <w:sz w:val="19"/>
              </w:rPr>
              <w:br/>
            </w:r>
            <w:r>
              <w:rPr>
                <w:rFonts w:ascii="Times New Roman" w:hAnsi="Times New Roman"/>
                <w:sz w:val="19"/>
              </w:rPr>
              <w:t xml:space="preserve">с. </w:t>
            </w:r>
            <w:r>
              <w:rPr>
                <w:rFonts w:ascii="Times New Roman" w:hAnsi="Times New Roman"/>
                <w:sz w:val="19"/>
              </w:rPr>
              <w:t>Ольгино</w:t>
            </w:r>
            <w:r>
              <w:rPr>
                <w:rFonts w:ascii="Times New Roman" w:hAnsi="Times New Roman"/>
                <w:sz w:val="19"/>
              </w:rPr>
              <w:t xml:space="preserve"> по направлению на северо-восток</w:t>
            </w:r>
          </w:p>
        </w:tc>
        <w:tc>
          <w:tcPr>
            <w:tcW w:type="dxa" w:w="2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Иная зона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</w:tr>
      <w:tr>
        <w:trPr>
          <w:trHeight w:hRule="atLeast" w:val="96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отходов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Место </w:t>
            </w:r>
            <w:r>
              <w:rPr>
                <w:rFonts w:ascii="Times New Roman" w:hAnsi="Times New Roman"/>
                <w:sz w:val="20"/>
              </w:rPr>
              <w:t>несанкционированного размещения отходов производства и потребления (ликвидация)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 отходов 1,1 га.</w:t>
            </w:r>
          </w:p>
          <w:p w14:paraId="56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Ориентировочный объем отходов 16500куб</w:t>
            </w:r>
            <w:r>
              <w:rPr>
                <w:rFonts w:ascii="Times New Roman" w:hAnsi="Times New Roman"/>
                <w:sz w:val="20"/>
              </w:rPr>
              <w:t>.м</w:t>
            </w:r>
          </w:p>
        </w:tc>
        <w:tc>
          <w:tcPr>
            <w:tcW w:type="dxa" w:w="2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00000">
            <w:pPr>
              <w:widowControl w:val="0"/>
              <w:ind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Примерно в 300 м от </w:t>
            </w:r>
            <w:r>
              <w:rPr>
                <w:rFonts w:ascii="Times New Roman" w:hAnsi="Times New Roman"/>
                <w:sz w:val="19"/>
              </w:rPr>
              <w:br/>
            </w:r>
            <w:r>
              <w:rPr>
                <w:rFonts w:ascii="Times New Roman" w:hAnsi="Times New Roman"/>
                <w:sz w:val="19"/>
              </w:rPr>
              <w:t xml:space="preserve">д. </w:t>
            </w:r>
            <w:r>
              <w:rPr>
                <w:rFonts w:ascii="Times New Roman" w:hAnsi="Times New Roman"/>
                <w:sz w:val="19"/>
              </w:rPr>
              <w:t>Андрюшевка</w:t>
            </w:r>
            <w:r>
              <w:rPr>
                <w:rFonts w:ascii="Times New Roman" w:hAnsi="Times New Roman"/>
                <w:sz w:val="19"/>
              </w:rPr>
              <w:t xml:space="preserve"> по направлению на юг</w:t>
            </w:r>
          </w:p>
        </w:tc>
        <w:tc>
          <w:tcPr>
            <w:tcW w:type="dxa" w:w="2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Иная зона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</w:tr>
      <w:tr>
        <w:trPr>
          <w:trHeight w:hRule="atLeast" w:val="96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3.3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отходов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Место несанкционированного размещения отходов производства и потребления (ликвидация)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 отходов 0,90 га.</w:t>
            </w:r>
          </w:p>
          <w:p w14:paraId="5E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Ориентировочный объем отходов 13500куб</w:t>
            </w:r>
            <w:r>
              <w:rPr>
                <w:rFonts w:ascii="Times New Roman" w:hAnsi="Times New Roman"/>
                <w:sz w:val="20"/>
              </w:rPr>
              <w:t>.м</w:t>
            </w:r>
          </w:p>
        </w:tc>
        <w:tc>
          <w:tcPr>
            <w:tcW w:type="dxa" w:w="2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00000">
            <w:pPr>
              <w:widowControl w:val="0"/>
              <w:ind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Примерно в 2400 м </w:t>
            </w:r>
            <w:r>
              <w:rPr>
                <w:rFonts w:ascii="Times New Roman" w:hAnsi="Times New Roman"/>
                <w:sz w:val="19"/>
              </w:rPr>
              <w:t>от</w:t>
            </w:r>
            <w:r>
              <w:rPr>
                <w:rFonts w:ascii="Times New Roman" w:hAnsi="Times New Roman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br/>
            </w:r>
            <w:r>
              <w:rPr>
                <w:rFonts w:ascii="Times New Roman" w:hAnsi="Times New Roman"/>
                <w:sz w:val="19"/>
              </w:rPr>
              <w:t xml:space="preserve">с. Георгиевка по направлению на северо-восток </w:t>
            </w:r>
          </w:p>
        </w:tc>
        <w:tc>
          <w:tcPr>
            <w:tcW w:type="dxa" w:w="2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Иная зона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</w:tr>
      <w:tr>
        <w:trPr>
          <w:trHeight w:hRule="atLeast" w:val="96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3.4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отходов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Место несанкционированного размещения отходов производства и потребления (ликвидация)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 отходов 0,60 га.</w:t>
            </w:r>
          </w:p>
          <w:p w14:paraId="66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Ориентировочный объем отходов 9000куб</w:t>
            </w:r>
            <w:r>
              <w:rPr>
                <w:rFonts w:ascii="Times New Roman" w:hAnsi="Times New Roman"/>
                <w:sz w:val="20"/>
              </w:rPr>
              <w:t>.м</w:t>
            </w:r>
          </w:p>
        </w:tc>
        <w:tc>
          <w:tcPr>
            <w:tcW w:type="dxa" w:w="2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00000">
            <w:pPr>
              <w:widowControl w:val="0"/>
              <w:ind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д. Крым</w:t>
            </w:r>
          </w:p>
        </w:tc>
        <w:tc>
          <w:tcPr>
            <w:tcW w:type="dxa" w:w="2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Иная зона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</w:tr>
      <w:tr>
        <w:trPr>
          <w:trHeight w:hRule="atLeast" w:val="96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3.5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отходов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Место </w:t>
            </w:r>
            <w:r>
              <w:rPr>
                <w:rFonts w:ascii="Times New Roman" w:hAnsi="Times New Roman"/>
                <w:sz w:val="20"/>
              </w:rPr>
              <w:t>несанкционированного размещения отходов производства и потребления (ликвидация)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 отходов 1,60 га.</w:t>
            </w:r>
          </w:p>
          <w:p w14:paraId="6E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Ориентировочный объем отходов 24000куб</w:t>
            </w:r>
            <w:r>
              <w:rPr>
                <w:rFonts w:ascii="Times New Roman" w:hAnsi="Times New Roman"/>
                <w:sz w:val="20"/>
              </w:rPr>
              <w:t>.м</w:t>
            </w:r>
          </w:p>
        </w:tc>
        <w:tc>
          <w:tcPr>
            <w:tcW w:type="dxa" w:w="2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00000">
            <w:pPr>
              <w:widowControl w:val="0"/>
              <w:ind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д. Никополь</w:t>
            </w:r>
          </w:p>
        </w:tc>
        <w:tc>
          <w:tcPr>
            <w:tcW w:type="dxa" w:w="2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Иная зона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</w:tr>
    </w:tbl>
    <w:p w14:paraId="72000000">
      <w:pPr>
        <w:rPr>
          <w:rFonts w:ascii="Times New Roman" w:hAnsi="Times New Roman"/>
          <w:sz w:val="14"/>
        </w:rPr>
      </w:pPr>
    </w:p>
    <w:p w14:paraId="73000000">
      <w:pPr>
        <w:spacing w:after="240" w:before="120" w:line="240" w:lineRule="auto"/>
        <w:ind w:firstLine="425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2 Параметры функциональных зон, а также сведения о планируемых для </w:t>
      </w:r>
      <w:r>
        <w:rPr>
          <w:rFonts w:ascii="Times New Roman" w:hAnsi="Times New Roman"/>
          <w:b w:val="1"/>
          <w:sz w:val="24"/>
        </w:rPr>
        <w:t>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</w:p>
    <w:p w14:paraId="74000000">
      <w:pPr>
        <w:widowControl w:val="0"/>
        <w:spacing w:after="120" w:before="240"/>
        <w:ind w:firstLine="709" w:left="0" w:right="-456"/>
        <w:jc w:val="right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Таблица 2</w:t>
      </w:r>
    </w:p>
    <w:tbl>
      <w:tblPr>
        <w:tblStyle w:val="Style_3"/>
        <w:tblInd w:type="dxa" w:w="6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88"/>
        <w:gridCol w:w="1582"/>
        <w:gridCol w:w="1875"/>
        <w:gridCol w:w="1470"/>
        <w:gridCol w:w="960"/>
        <w:gridCol w:w="1515"/>
        <w:gridCol w:w="1843"/>
        <w:gridCol w:w="1322"/>
        <w:gridCol w:w="1590"/>
        <w:gridCol w:w="2338"/>
      </w:tblGrid>
      <w:tr>
        <w:trPr>
          <w:trHeight w:hRule="atLeast" w:val="601"/>
        </w:trPr>
        <w:tc>
          <w:tcPr>
            <w:tcW w:type="dxa" w:w="5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№</w:t>
            </w:r>
          </w:p>
          <w:p w14:paraId="76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</w:t>
            </w:r>
            <w:r>
              <w:rPr>
                <w:rFonts w:ascii="Times New Roman" w:hAnsi="Times New Roman"/>
                <w:b w:val="1"/>
                <w:sz w:val="20"/>
              </w:rPr>
              <w:t>/</w:t>
            </w:r>
            <w:r>
              <w:rPr>
                <w:rFonts w:ascii="Times New Roman" w:hAnsi="Times New Roman"/>
                <w:b w:val="1"/>
                <w:sz w:val="20"/>
              </w:rPr>
              <w:t>п</w:t>
            </w:r>
          </w:p>
        </w:tc>
        <w:tc>
          <w:tcPr>
            <w:tcW w:type="dxa" w:w="15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Назначение объекта</w:t>
            </w:r>
          </w:p>
        </w:tc>
        <w:tc>
          <w:tcPr>
            <w:tcW w:type="dxa" w:w="18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Наименование объекта</w:t>
            </w:r>
          </w:p>
        </w:tc>
        <w:tc>
          <w:tcPr>
            <w:tcW w:type="dxa" w:w="14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Основные характеристики объекта</w:t>
            </w:r>
          </w:p>
        </w:tc>
        <w:tc>
          <w:tcPr>
            <w:tcW w:type="dxa" w:w="9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Местоположение объекта</w:t>
            </w:r>
          </w:p>
        </w:tc>
        <w:tc>
          <w:tcPr>
            <w:tcW w:type="dxa" w:w="151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Наименование функциональной зоны</w:t>
            </w:r>
          </w:p>
        </w:tc>
        <w:tc>
          <w:tcPr>
            <w:tcW w:type="dxa" w:w="31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00000">
            <w:pPr>
              <w:tabs>
                <w:tab w:leader="none" w:pos="1800" w:val="left"/>
              </w:tabs>
              <w:spacing w:after="0" w:line="240" w:lineRule="auto"/>
              <w:ind w:firstLine="108" w:left="-108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Параметры функциональной зоны</w:t>
            </w:r>
          </w:p>
        </w:tc>
        <w:tc>
          <w:tcPr>
            <w:tcW w:type="dxa" w:w="159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Характеристики зон с особыми условиями использования </w:t>
            </w:r>
            <w:r>
              <w:rPr>
                <w:rFonts w:ascii="Times New Roman" w:hAnsi="Times New Roman"/>
                <w:b w:val="1"/>
                <w:sz w:val="20"/>
              </w:rPr>
              <w:t>территории</w:t>
            </w:r>
            <w:r>
              <w:rPr>
                <w:rFonts w:ascii="Times New Roman" w:hAnsi="Times New Roman"/>
                <w:b w:val="1"/>
                <w:sz w:val="20"/>
              </w:rPr>
              <w:t>,у</w:t>
            </w:r>
            <w:r>
              <w:rPr>
                <w:rFonts w:ascii="Times New Roman" w:hAnsi="Times New Roman"/>
                <w:b w:val="1"/>
                <w:sz w:val="20"/>
              </w:rPr>
              <w:t>становление</w:t>
            </w:r>
            <w:r>
              <w:rPr>
                <w:rFonts w:ascii="Times New Roman" w:hAnsi="Times New Roman"/>
                <w:b w:val="1"/>
                <w:sz w:val="20"/>
              </w:rPr>
              <w:t xml:space="preserve"> которых требуется в связи с размещением объекта</w:t>
            </w:r>
          </w:p>
        </w:tc>
        <w:tc>
          <w:tcPr>
            <w:tcW w:type="dxa" w:w="233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Значение объекта</w:t>
            </w:r>
          </w:p>
        </w:tc>
      </w:tr>
      <w:tr>
        <w:trPr>
          <w:trHeight w:hRule="atLeast" w:val="697"/>
        </w:trPr>
        <w:tc>
          <w:tcPr>
            <w:tcW w:type="dxa" w:w="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5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9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5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Максимально допустимый коэффициент застройки</w:t>
            </w:r>
            <w:r>
              <w:rPr>
                <w:rFonts w:ascii="Times New Roman" w:hAnsi="Times New Roman"/>
                <w:b w:val="1"/>
                <w:sz w:val="20"/>
              </w:rPr>
              <w:t xml:space="preserve"> зоны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00000">
            <w:pPr>
              <w:tabs>
                <w:tab w:leader="none" w:pos="1800" w:val="left"/>
              </w:tabs>
              <w:spacing w:after="0" w:line="240" w:lineRule="auto"/>
              <w:ind w:firstLine="108" w:left="-108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Максимальная этажность застройки зоны, этаж</w:t>
            </w:r>
          </w:p>
        </w:tc>
        <w:tc>
          <w:tcPr>
            <w:tcW w:type="dxa" w:w="159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33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atLeast" w:val="365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</w:t>
            </w:r>
          </w:p>
        </w:tc>
        <w:tc>
          <w:tcPr>
            <w:tcW w:type="dxa" w:w="14495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Объекты транспортной инфраструктуры</w:t>
            </w:r>
          </w:p>
        </w:tc>
      </w:tr>
      <w:tr>
        <w:trPr>
          <w:trHeight w:hRule="atLeast" w:val="672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1.1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 транспортного обслуживания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Реконструкция автомобильной дороги </w:t>
            </w:r>
            <w:r>
              <w:rPr>
                <w:rFonts w:ascii="Times New Roman" w:hAnsi="Times New Roman"/>
                <w:sz w:val="20"/>
              </w:rPr>
              <w:t>Андрюшевка</w:t>
            </w:r>
            <w:r>
              <w:rPr>
                <w:rFonts w:ascii="Times New Roman" w:hAnsi="Times New Roman"/>
                <w:sz w:val="20"/>
              </w:rPr>
              <w:t xml:space="preserve"> – Крым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Протяженность ориентировочно 3,3 км.</w:t>
            </w:r>
          </w:p>
          <w:p w14:paraId="87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Категория автомобильной дороги – V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Ольгинское</w:t>
            </w:r>
            <w:r>
              <w:rPr>
                <w:rFonts w:ascii="Times New Roman" w:hAnsi="Times New Roman"/>
                <w:sz w:val="19"/>
              </w:rPr>
              <w:t xml:space="preserve"> сельское поселение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Придорожная полоса 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</w:rPr>
              <w:t xml:space="preserve">25 </w:t>
            </w:r>
            <w:r>
              <w:rPr>
                <w:rFonts w:ascii="Times New Roman" w:hAnsi="Times New Roman"/>
                <w:sz w:val="20"/>
              </w:rPr>
              <w:t>метровв</w:t>
            </w:r>
            <w:r>
              <w:rPr>
                <w:rFonts w:ascii="Times New Roman" w:hAnsi="Times New Roman"/>
                <w:sz w:val="20"/>
              </w:rPr>
              <w:t xml:space="preserve"> обе стороны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0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регионального значения</w:t>
            </w:r>
          </w:p>
        </w:tc>
      </w:tr>
      <w:tr>
        <w:trPr>
          <w:trHeight w:hRule="atLeast" w:val="729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1.2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 транспортного обслуживания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Реконструкция автомобильной дороги </w:t>
            </w:r>
            <w:r>
              <w:rPr>
                <w:rFonts w:ascii="Times New Roman" w:hAnsi="Times New Roman"/>
                <w:sz w:val="20"/>
              </w:rPr>
              <w:t>Ольгино</w:t>
            </w:r>
            <w:r>
              <w:rPr>
                <w:rFonts w:ascii="Times New Roman" w:hAnsi="Times New Roman"/>
                <w:sz w:val="20"/>
              </w:rPr>
              <w:t xml:space="preserve"> – Никополь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Протяженность </w:t>
            </w:r>
            <w:r>
              <w:rPr>
                <w:rFonts w:ascii="Times New Roman" w:hAnsi="Times New Roman"/>
                <w:sz w:val="20"/>
              </w:rPr>
              <w:t>ориентировочно 2,0 км.</w:t>
            </w:r>
          </w:p>
          <w:p w14:paraId="92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Категория автомобильной дороги – V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Ольгинское</w:t>
            </w:r>
            <w:r>
              <w:rPr>
                <w:rFonts w:ascii="Times New Roman" w:hAnsi="Times New Roman"/>
                <w:sz w:val="19"/>
              </w:rPr>
              <w:t xml:space="preserve"> сельское поселение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Придорожная полоса 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</w:rPr>
              <w:t xml:space="preserve">25 </w:t>
            </w:r>
            <w:r>
              <w:rPr>
                <w:rFonts w:ascii="Times New Roman" w:hAnsi="Times New Roman"/>
                <w:sz w:val="20"/>
              </w:rPr>
              <w:t>метровв</w:t>
            </w:r>
            <w:r>
              <w:rPr>
                <w:rFonts w:ascii="Times New Roman" w:hAnsi="Times New Roman"/>
                <w:sz w:val="20"/>
              </w:rPr>
              <w:t xml:space="preserve"> обе стороны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0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регионального значения</w:t>
            </w:r>
          </w:p>
        </w:tc>
      </w:tr>
      <w:tr>
        <w:trPr>
          <w:trHeight w:hRule="atLeast" w:val="558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1.3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 транспортного обслуживания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Улично-дорожная сеть (строительство)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Протяженность ориентировочно 0,65 км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с</w:t>
            </w:r>
            <w:r>
              <w:rPr>
                <w:rFonts w:ascii="Times New Roman" w:hAnsi="Times New Roman"/>
                <w:sz w:val="19"/>
              </w:rPr>
              <w:t>. Георгиевка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местного значения поселения</w:t>
            </w:r>
          </w:p>
        </w:tc>
      </w:tr>
      <w:tr>
        <w:trPr>
          <w:trHeight w:hRule="atLeast" w:val="558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1.4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 транспортного обслуживания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Улично-дорожная сеть (строительство)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Протяженность ориентировочно 0,18 км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с. Ольгино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 </w:t>
            </w:r>
            <w:r>
              <w:rPr>
                <w:rFonts w:ascii="Times New Roman" w:hAnsi="Times New Roman"/>
                <w:sz w:val="20"/>
              </w:rPr>
              <w:t>устанавливаются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местного значения поселения</w:t>
            </w:r>
          </w:p>
        </w:tc>
      </w:tr>
      <w:tr>
        <w:trPr>
          <w:trHeight w:hRule="atLeast" w:val="329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type="dxa" w:w="14495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Объекты инженерной инфраструктуры</w:t>
            </w:r>
          </w:p>
        </w:tc>
      </w:tr>
      <w:tr>
        <w:trPr>
          <w:trHeight w:hRule="atLeast" w:val="142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2.1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 газоснабжения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20"/>
              </w:rPr>
              <w:t>Газопровод распределительный высокого давления (строительство)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Суммарная протяженность ориентировочно 17,6 км.</w:t>
            </w:r>
          </w:p>
          <w:p w14:paraId="B3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 труб не менее 50 </w:t>
            </w:r>
            <w:r>
              <w:rPr>
                <w:rFonts w:ascii="Times New Roman" w:hAnsi="Times New Roman"/>
                <w:sz w:val="20"/>
              </w:rPr>
              <w:t>мм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19"/>
              </w:rPr>
              <w:t>Ольгинское</w:t>
            </w:r>
            <w:r>
              <w:rPr>
                <w:rFonts w:ascii="Times New Roman" w:hAnsi="Times New Roman"/>
                <w:sz w:val="19"/>
              </w:rPr>
              <w:t xml:space="preserve"> сельское поселение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Охранная зона 2 метра с каждой стороны газопровода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местного значения муниципального района</w:t>
            </w:r>
          </w:p>
        </w:tc>
      </w:tr>
      <w:tr>
        <w:trPr>
          <w:trHeight w:hRule="atLeast" w:val="142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2.2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 газоснабжения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Пункт редуцирования газа (строительство)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Максимальная пропускная способность 1000 куб. </w:t>
            </w: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</w:rPr>
              <w:t>/ч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За юго-западной границей </w:t>
            </w:r>
          </w:p>
          <w:p w14:paraId="BF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д. Крым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Зона сельскохозяйственных угодий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Охранная зона 10 м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0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местного значения муниципального района</w:t>
            </w:r>
          </w:p>
        </w:tc>
      </w:tr>
      <w:tr>
        <w:trPr>
          <w:trHeight w:hRule="atLeast" w:val="142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2.3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 газоснабжения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Пункт редуцирования газа (строительство)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Максимальная пропускная способность 1000 </w:t>
            </w:r>
            <w:r>
              <w:rPr>
                <w:rFonts w:ascii="Times New Roman" w:hAnsi="Times New Roman"/>
                <w:sz w:val="20"/>
              </w:rPr>
              <w:t xml:space="preserve">куб. </w:t>
            </w: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</w:rPr>
              <w:t>/ч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В восточной части</w:t>
            </w:r>
          </w:p>
          <w:p w14:paraId="CA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д. Крым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Зона сельскохозяйственного использования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Охранная зона 10 м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0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местного значения муниципального района</w:t>
            </w:r>
          </w:p>
        </w:tc>
      </w:tr>
      <w:tr>
        <w:trPr>
          <w:trHeight w:hRule="atLeast" w:val="142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2.4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 газоснабжения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Пункт редуцирования газа (строительство)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Максимальная пропускная способность </w:t>
            </w:r>
            <w:r>
              <w:rPr>
                <w:rFonts w:ascii="Times New Roman" w:hAnsi="Times New Roman"/>
                <w:sz w:val="20"/>
              </w:rPr>
              <w:t xml:space="preserve">1000 куб. </w:t>
            </w: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</w:rPr>
              <w:t>/ч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За восточной границей </w:t>
            </w:r>
          </w:p>
          <w:p w14:paraId="D5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д. </w:t>
            </w:r>
            <w:r>
              <w:rPr>
                <w:rFonts w:ascii="Times New Roman" w:hAnsi="Times New Roman"/>
                <w:sz w:val="19"/>
              </w:rPr>
              <w:t>Андрюшевка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Зона сельскохозяйственных угодий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Охранная зона 10 м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0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местного значения муниципального района</w:t>
            </w:r>
          </w:p>
        </w:tc>
      </w:tr>
      <w:tr>
        <w:trPr>
          <w:trHeight w:hRule="atLeast" w:val="382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2.5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 водоснабжения населенных пунктов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Пункт редуцирования газа (строительство)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Максимальная пропускная способность 1000 куб. </w:t>
            </w: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</w:rPr>
              <w:t>/ч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За западной границей </w:t>
            </w:r>
          </w:p>
          <w:p w14:paraId="E0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д. </w:t>
            </w:r>
            <w:r>
              <w:rPr>
                <w:rFonts w:ascii="Times New Roman" w:hAnsi="Times New Roman"/>
                <w:sz w:val="19"/>
              </w:rPr>
              <w:t>Андрюшевка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Зона сельскохозяйственных угодий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Охранная зона 10 м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0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местного значения муниципального района</w:t>
            </w:r>
          </w:p>
        </w:tc>
      </w:tr>
      <w:tr>
        <w:trPr>
          <w:trHeight w:hRule="atLeast" w:val="1014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2.6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 газоснабжения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Газопровод распределительный низкого</w:t>
            </w:r>
            <w:r>
              <w:rPr>
                <w:rFonts w:ascii="Times New Roman" w:hAnsi="Times New Roman"/>
                <w:sz w:val="20"/>
              </w:rPr>
              <w:t xml:space="preserve"> давления (строительство)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Суммарная протяженность ориентировочно 12,1 км, в том числе:</w:t>
            </w:r>
          </w:p>
          <w:p w14:paraId="EA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д. Крым – 3,4 км;</w:t>
            </w:r>
          </w:p>
          <w:p w14:paraId="EB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д. </w:t>
            </w:r>
            <w:r>
              <w:rPr>
                <w:rFonts w:ascii="Times New Roman" w:hAnsi="Times New Roman"/>
                <w:sz w:val="20"/>
              </w:rPr>
              <w:t>Андрюшевка</w:t>
            </w:r>
            <w:r>
              <w:rPr>
                <w:rFonts w:ascii="Times New Roman" w:hAnsi="Times New Roman"/>
                <w:sz w:val="20"/>
              </w:rPr>
              <w:t xml:space="preserve"> – 1,2 км;</w:t>
            </w:r>
          </w:p>
          <w:p w14:paraId="EC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с. </w:t>
            </w:r>
            <w:r>
              <w:rPr>
                <w:rFonts w:ascii="Times New Roman" w:hAnsi="Times New Roman"/>
                <w:sz w:val="20"/>
              </w:rPr>
              <w:t>Ольгино</w:t>
            </w:r>
            <w:r>
              <w:rPr>
                <w:rFonts w:ascii="Times New Roman" w:hAnsi="Times New Roman"/>
                <w:sz w:val="20"/>
              </w:rPr>
              <w:t xml:space="preserve"> – 7,5 км.</w:t>
            </w:r>
          </w:p>
          <w:p w14:paraId="ED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Диаметр труб не менее 50 мм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д. Крым, </w:t>
            </w:r>
          </w:p>
          <w:p w14:paraId="EF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д. </w:t>
            </w:r>
            <w:r>
              <w:rPr>
                <w:rFonts w:ascii="Times New Roman" w:hAnsi="Times New Roman"/>
                <w:sz w:val="20"/>
              </w:rPr>
              <w:t>Андрюшевка</w:t>
            </w:r>
            <w:r>
              <w:rPr>
                <w:rFonts w:ascii="Times New Roman" w:hAnsi="Times New Roman"/>
                <w:sz w:val="20"/>
              </w:rPr>
              <w:t>,</w:t>
            </w:r>
          </w:p>
          <w:p w14:paraId="F0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с. Ольгино 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Охранная зона 2 метра с каждой стор</w:t>
            </w:r>
            <w:r>
              <w:rPr>
                <w:rFonts w:ascii="Times New Roman" w:hAnsi="Times New Roman"/>
                <w:sz w:val="20"/>
              </w:rPr>
              <w:t>оны газопровода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0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местного значения муниципального района</w:t>
            </w:r>
          </w:p>
        </w:tc>
      </w:tr>
      <w:tr>
        <w:trPr>
          <w:trHeight w:hRule="atLeast" w:val="393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</w:t>
            </w:r>
          </w:p>
        </w:tc>
        <w:tc>
          <w:tcPr>
            <w:tcW w:type="dxa" w:w="14495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Объекты физической культуры и спорта</w:t>
            </w:r>
          </w:p>
        </w:tc>
      </w:tr>
      <w:tr>
        <w:trPr>
          <w:trHeight w:hRule="atLeast" w:val="96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3.1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Развитие инфраструктуры физической культуры и спорта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Спортивная площадка (строительство)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0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Единовременная пропускная способность 30 человек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Георгиевка,</w:t>
            </w:r>
          </w:p>
          <w:p w14:paraId="FD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Центральная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0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Зона специализированной общественной застройки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0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0,80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1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3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1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местного значения поселения</w:t>
            </w:r>
          </w:p>
        </w:tc>
      </w:tr>
      <w:tr>
        <w:trPr>
          <w:trHeight w:hRule="atLeast" w:val="419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</w:t>
            </w:r>
          </w:p>
        </w:tc>
        <w:tc>
          <w:tcPr>
            <w:tcW w:type="dxa" w:w="14495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Объекты утилизации, обезвреживания, размещения отходов производства и потребления</w:t>
            </w:r>
          </w:p>
        </w:tc>
      </w:tr>
      <w:tr>
        <w:trPr>
          <w:trHeight w:hRule="atLeast" w:val="96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4.1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отходов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Место несанкционированного размещения отходов производства и потребления (ликвидация)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 отходов 3,20 га.</w:t>
            </w:r>
          </w:p>
          <w:p w14:paraId="09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Ориентировочный объем отходов 48000куб</w:t>
            </w:r>
            <w:r>
              <w:rPr>
                <w:rFonts w:ascii="Times New Roman" w:hAnsi="Times New Roman"/>
                <w:sz w:val="20"/>
              </w:rPr>
              <w:t>.м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10000">
            <w:pPr>
              <w:widowControl w:val="0"/>
              <w:ind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Примерно в 800 м от </w:t>
            </w:r>
            <w:r>
              <w:rPr>
                <w:rFonts w:ascii="Times New Roman" w:hAnsi="Times New Roman"/>
                <w:sz w:val="19"/>
              </w:rPr>
              <w:br/>
            </w:r>
            <w:r>
              <w:rPr>
                <w:rFonts w:ascii="Times New Roman" w:hAnsi="Times New Roman"/>
                <w:sz w:val="19"/>
              </w:rPr>
              <w:t xml:space="preserve">с. </w:t>
            </w:r>
            <w:r>
              <w:rPr>
                <w:rFonts w:ascii="Times New Roman" w:hAnsi="Times New Roman"/>
                <w:sz w:val="19"/>
              </w:rPr>
              <w:t>Ольгино</w:t>
            </w:r>
            <w:r>
              <w:rPr>
                <w:rFonts w:ascii="Times New Roman" w:hAnsi="Times New Roman"/>
                <w:sz w:val="19"/>
              </w:rPr>
              <w:t xml:space="preserve"> по направлению на северо-восток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Иная зона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1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1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1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Объект </w:t>
            </w:r>
            <w:r>
              <w:rPr>
                <w:rFonts w:ascii="Times New Roman" w:hAnsi="Times New Roman"/>
                <w:sz w:val="20"/>
              </w:rPr>
              <w:t>местного значения поселения</w:t>
            </w:r>
          </w:p>
        </w:tc>
      </w:tr>
      <w:tr>
        <w:trPr>
          <w:trHeight w:hRule="atLeast" w:val="715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4.2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отходов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Место несанкционированного размещения отходов производства и потребления (ликвидация)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 отходов 1,1 га.</w:t>
            </w:r>
          </w:p>
          <w:p w14:paraId="14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Ориентировочный объем отходов 16500куб</w:t>
            </w:r>
            <w:r>
              <w:rPr>
                <w:rFonts w:ascii="Times New Roman" w:hAnsi="Times New Roman"/>
                <w:sz w:val="20"/>
              </w:rPr>
              <w:t>.м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10000">
            <w:pPr>
              <w:widowControl w:val="0"/>
              <w:ind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Примерно в 300 м от </w:t>
            </w:r>
            <w:r>
              <w:rPr>
                <w:rFonts w:ascii="Times New Roman" w:hAnsi="Times New Roman"/>
                <w:sz w:val="19"/>
              </w:rPr>
              <w:br/>
            </w:r>
            <w:r>
              <w:rPr>
                <w:rFonts w:ascii="Times New Roman" w:hAnsi="Times New Roman"/>
                <w:sz w:val="19"/>
              </w:rPr>
              <w:t xml:space="preserve">д. </w:t>
            </w:r>
            <w:r>
              <w:rPr>
                <w:rFonts w:ascii="Times New Roman" w:hAnsi="Times New Roman"/>
                <w:sz w:val="19"/>
              </w:rPr>
              <w:t>Андрюшевка</w:t>
            </w:r>
            <w:r>
              <w:rPr>
                <w:rFonts w:ascii="Times New Roman" w:hAnsi="Times New Roman"/>
                <w:sz w:val="19"/>
              </w:rPr>
              <w:t xml:space="preserve"> по направлению на юг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Иная зона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1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1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1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местного значения поселения</w:t>
            </w:r>
          </w:p>
        </w:tc>
      </w:tr>
      <w:tr>
        <w:trPr>
          <w:trHeight w:hRule="atLeast" w:val="715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4.3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отходов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Место несанкционированного размещения отходов производства и потребления (ликвидация)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 отходов 0,90 га.</w:t>
            </w:r>
          </w:p>
          <w:p w14:paraId="1F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Ориентировочный объем отходов </w:t>
            </w:r>
            <w:r>
              <w:rPr>
                <w:rFonts w:ascii="Times New Roman" w:hAnsi="Times New Roman"/>
                <w:sz w:val="20"/>
              </w:rPr>
              <w:t>13500куб</w:t>
            </w:r>
            <w:r>
              <w:rPr>
                <w:rFonts w:ascii="Times New Roman" w:hAnsi="Times New Roman"/>
                <w:sz w:val="20"/>
              </w:rPr>
              <w:t>.м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10000">
            <w:pPr>
              <w:widowControl w:val="0"/>
              <w:ind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Примерно в 2400 м </w:t>
            </w:r>
            <w:r>
              <w:rPr>
                <w:rFonts w:ascii="Times New Roman" w:hAnsi="Times New Roman"/>
                <w:sz w:val="19"/>
              </w:rPr>
              <w:t>от</w:t>
            </w:r>
            <w:r>
              <w:rPr>
                <w:rFonts w:ascii="Times New Roman" w:hAnsi="Times New Roman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br/>
            </w:r>
            <w:r>
              <w:rPr>
                <w:rFonts w:ascii="Times New Roman" w:hAnsi="Times New Roman"/>
                <w:sz w:val="19"/>
              </w:rPr>
              <w:t xml:space="preserve">с. Георгиевка по направлению на северо-восток 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Иная зона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1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1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1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местного значения поселения</w:t>
            </w:r>
          </w:p>
        </w:tc>
      </w:tr>
      <w:tr>
        <w:trPr>
          <w:trHeight w:hRule="atLeast" w:val="715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4.4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отходов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Место несанкционированного размещения отходов производства и потребления </w:t>
            </w:r>
            <w:r>
              <w:rPr>
                <w:rFonts w:ascii="Times New Roman" w:hAnsi="Times New Roman"/>
                <w:sz w:val="20"/>
              </w:rPr>
              <w:t>(ликвидация)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 отходов 0,60 га.</w:t>
            </w:r>
          </w:p>
          <w:p w14:paraId="2A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Ориентировочный объем отходов 9000куб</w:t>
            </w:r>
            <w:r>
              <w:rPr>
                <w:rFonts w:ascii="Times New Roman" w:hAnsi="Times New Roman"/>
                <w:sz w:val="20"/>
              </w:rPr>
              <w:t>.м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10000">
            <w:pPr>
              <w:widowControl w:val="0"/>
              <w:ind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За южной границей д. Крым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Иная зона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1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1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1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местного значения поселения</w:t>
            </w:r>
          </w:p>
        </w:tc>
      </w:tr>
      <w:tr>
        <w:trPr>
          <w:trHeight w:hRule="atLeast" w:val="715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4.5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отходов</w:t>
            </w:r>
          </w:p>
        </w:tc>
        <w:tc>
          <w:tcPr>
            <w:tcW w:type="dxa" w:w="1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Место несанкционированного размещения отходов производства и</w:t>
            </w:r>
            <w:r>
              <w:rPr>
                <w:rFonts w:ascii="Times New Roman" w:hAnsi="Times New Roman"/>
                <w:sz w:val="20"/>
              </w:rPr>
              <w:t xml:space="preserve"> потребления (ликвидация)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 отходов 1,60 га.</w:t>
            </w:r>
          </w:p>
          <w:p w14:paraId="35010000">
            <w:pPr>
              <w:tabs>
                <w:tab w:leader="none" w:pos="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Ориентировочный объем отходов 24000куб</w:t>
            </w:r>
            <w:r>
              <w:rPr>
                <w:rFonts w:ascii="Times New Roman" w:hAnsi="Times New Roman"/>
                <w:sz w:val="20"/>
              </w:rPr>
              <w:t>.м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10000">
            <w:pPr>
              <w:widowControl w:val="0"/>
              <w:ind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д. Никополь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Иная зона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1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10000">
            <w:pPr>
              <w:tabs>
                <w:tab w:leader="none" w:pos="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type="dxa" w:w="1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10000">
            <w:pPr>
              <w:tabs>
                <w:tab w:leader="none" w:pos="180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устанавливаются</w:t>
            </w:r>
          </w:p>
        </w:tc>
        <w:tc>
          <w:tcPr>
            <w:tcW w:type="dxa" w:w="2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10000">
            <w:pPr>
              <w:tabs>
                <w:tab w:leader="none" w:pos="1800" w:val="left"/>
              </w:tabs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 местного значения поселения</w:t>
            </w:r>
          </w:p>
        </w:tc>
      </w:tr>
    </w:tbl>
    <w:p w14:paraId="3C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3D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3E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3F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40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41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42010000">
      <w:pPr>
        <w:spacing w:after="0" w:line="240" w:lineRule="auto"/>
        <w:ind w:firstLine="425" w:left="0"/>
        <w:jc w:val="both"/>
        <w:rPr>
          <w:rFonts w:ascii="Times New Roman" w:hAnsi="Times New Roman"/>
          <w:b w:val="1"/>
          <w:sz w:val="28"/>
        </w:rPr>
      </w:pPr>
    </w:p>
    <w:p w14:paraId="43010000">
      <w:pPr>
        <w:spacing w:after="0" w:line="240" w:lineRule="auto"/>
        <w:ind w:firstLine="425" w:left="0"/>
        <w:jc w:val="both"/>
        <w:rPr>
          <w:rFonts w:ascii="Times New Roman" w:hAnsi="Times New Roman"/>
          <w:b w:val="1"/>
          <w:sz w:val="28"/>
        </w:rPr>
      </w:pPr>
    </w:p>
    <w:p w14:paraId="44010000">
      <w:pPr>
        <w:spacing w:after="0" w:line="240" w:lineRule="auto"/>
        <w:ind w:firstLine="425" w:left="0"/>
        <w:jc w:val="both"/>
        <w:rPr>
          <w:rFonts w:ascii="Times New Roman" w:hAnsi="Times New Roman"/>
          <w:b w:val="1"/>
          <w:sz w:val="28"/>
        </w:rPr>
      </w:pPr>
    </w:p>
    <w:p w14:paraId="45010000">
      <w:pPr>
        <w:sectPr>
          <w:footerReference r:id="rId5" w:type="default"/>
          <w:pgSz w:h="11908" w:orient="landscape" w:w="16848"/>
          <w:pgMar w:bottom="1134" w:footer="851" w:gutter="0" w:header="851" w:left="1134" w:right="567" w:top="1134"/>
          <w:pgNumType w:start="3"/>
        </w:sectPr>
      </w:pPr>
    </w:p>
    <w:p w14:paraId="4601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margin">
              <wp:posOffset>0</wp:posOffset>
            </wp:positionV>
            <wp:extent cx="6934200" cy="6477000"/>
            <wp:effectExtent b="0" l="0" r="0" t="0"/>
            <wp:wrapSquare distB="0" distL="114300" distR="114300" distT="0" wrapText="bothSides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6934200" cy="64770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7010000">
      <w:pPr>
        <w:sectPr>
          <w:footerReference r:id="rId6" w:type="default"/>
          <w:pgSz w:h="11908" w:orient="landscape" w:w="16848"/>
          <w:pgMar w:bottom="1134" w:footer="851" w:gutter="0" w:header="851" w:left="1134" w:right="567" w:top="1134"/>
          <w:pgNumType w:start="3"/>
        </w:sectPr>
      </w:pPr>
    </w:p>
    <w:p w14:paraId="4801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margin">
              <wp:posOffset>0</wp:posOffset>
            </wp:positionV>
            <wp:extent cx="6343650" cy="6286500"/>
            <wp:effectExtent b="0" l="0" r="0" t="0"/>
            <wp:wrapSquare distB="0" distL="114300" distR="114300" distT="0" wrapText="bothSides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6343650" cy="62865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9010000">
      <w:pPr>
        <w:sectPr>
          <w:footerReference r:id="rId3" w:type="default"/>
          <w:pgSz w:h="11908" w:orient="landscape" w:w="16848"/>
          <w:pgMar w:bottom="1134" w:footer="851" w:gutter="0" w:header="851" w:left="1134" w:right="567" w:top="1134"/>
        </w:sectPr>
      </w:pPr>
    </w:p>
    <w:p w14:paraId="4A010000">
      <w:pPr>
        <w:spacing w:line="240" w:lineRule="auto"/>
        <w:ind/>
        <w:jc w:val="right"/>
        <w:rPr>
          <w:rFonts w:ascii="Times New Roman" w:hAnsi="Times New Roman"/>
          <w:color w:val="FF0000"/>
          <w:sz w:val="26"/>
        </w:rPr>
      </w:pPr>
      <w:bookmarkStart w:id="1" w:name="_GoBack"/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margin">
              <wp:posOffset>0</wp:posOffset>
            </wp:positionV>
            <wp:extent cx="6353175" cy="5934075"/>
            <wp:effectExtent b="0" l="0" r="0" t="0"/>
            <wp:wrapSquare distB="0" distL="114300" distR="114300" distT="0" wrapText="bothSides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6353175" cy="5934075"/>
                    </a:xfrm>
                    <a:prstGeom prst="rect"/>
                  </pic:spPr>
                </pic:pic>
              </a:graphicData>
            </a:graphic>
          </wp:anchor>
        </w:drawing>
      </w:r>
      <w:bookmarkEnd w:id="1"/>
    </w:p>
    <w:p w14:paraId="4B010000">
      <w:pPr>
        <w:sectPr>
          <w:footerReference r:id="rId4" w:type="default"/>
          <w:pgSz w:h="11908" w:orient="landscape" w:w="16848"/>
          <w:pgMar w:bottom="1134" w:footer="708" w:gutter="0" w:header="624" w:left="1134" w:right="567" w:top="1134"/>
        </w:sectPr>
      </w:pPr>
    </w:p>
    <w:p w14:paraId="4C01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sectPr>
      <w:footerReference r:id="rId2" w:type="default"/>
      <w:pgSz w:h="11908" w:orient="landscape" w:w="16848"/>
      <w:pgMar w:bottom="1134" w:footer="708" w:gutter="0" w:header="708" w:left="1134" w:right="56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center"/>
      <w:rPr>
        <w:rFonts w:ascii="Times New Roman" w:hAnsi="Times New Roman"/>
        <w:sz w:val="24"/>
      </w:rPr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  <w:ind/>
      <w:jc w:val="center"/>
      <w:rPr>
        <w:rFonts w:ascii="Times New Roman" w:hAnsi="Times New Roman"/>
        <w:sz w:val="24"/>
      </w:rPr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ind/>
      <w:jc w:val="center"/>
      <w:rPr>
        <w:rFonts w:ascii="Times New Roman" w:hAnsi="Times New Roman"/>
        <w:sz w:val="24"/>
      </w:rPr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  <w:ind/>
      <w:jc w:val="center"/>
      <w:rPr>
        <w:rFonts w:ascii="Times New Roman" w:hAnsi="Times New Roman"/>
        <w:sz w:val="24"/>
      </w:rPr>
    </w:pP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1"/>
      <w:ind/>
      <w:jc w:val="center"/>
      <w:rPr>
        <w:rFonts w:ascii="Times New Roman" w:hAnsi="Times New Roman"/>
        <w:sz w:val="24"/>
      </w:rPr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pStyle w:val="Style_1"/>
      <w:ind/>
      <w:jc w:val="center"/>
      <w:rPr>
        <w:rFonts w:ascii="Times New Roman" w:hAnsi="Times New Roman"/>
        <w:sz w:val="24"/>
      </w:rPr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pStyle w:val="Style_63"/>
      <w:lvlText w:val="%1."/>
      <w:lvlJc w:val="left"/>
      <w:pPr>
        <w:ind w:firstLine="0" w:left="144"/>
      </w:pPr>
    </w:lvl>
    <w:lvl w:ilvl="1">
      <w:start w:val="1"/>
      <w:numFmt w:val="decimal"/>
      <w:pStyle w:val="Style_49"/>
      <w:lvlText w:val="%1.%2."/>
      <w:lvlJc w:val="left"/>
      <w:pPr>
        <w:ind w:firstLine="0" w:left="284"/>
      </w:pPr>
    </w:lvl>
    <w:lvl w:ilvl="2">
      <w:start w:val="1"/>
      <w:numFmt w:val="decimal"/>
      <w:pStyle w:val="Style_65"/>
      <w:lvlText w:val="%1.%2.%3."/>
      <w:lvlJc w:val="left"/>
      <w:pPr>
        <w:ind w:firstLine="0" w:left="144"/>
      </w:pPr>
    </w:lvl>
    <w:lvl w:ilvl="3">
      <w:start w:val="1"/>
      <w:numFmt w:val="decimal"/>
      <w:pStyle w:val="Style_10"/>
      <w:lvlText w:val="%1.%2.%3.%4"/>
      <w:lvlJc w:val="left"/>
      <w:pPr>
        <w:ind w:firstLine="0" w:left="144"/>
      </w:pPr>
    </w:lvl>
    <w:lvl w:ilvl="4">
      <w:start w:val="1"/>
      <w:numFmt w:val="decimal"/>
      <w:lvlText w:val="%1.%2.%3.%4.%5."/>
      <w:lvlJc w:val="left"/>
      <w:pPr>
        <w:ind w:hanging="792" w:left="4392"/>
      </w:pPr>
    </w:lvl>
    <w:lvl w:ilvl="5">
      <w:start w:val="1"/>
      <w:numFmt w:val="decimal"/>
      <w:lvlText w:val="%1.%2.%3.%4.%5.%6."/>
      <w:lvlJc w:val="left"/>
      <w:pPr>
        <w:ind w:hanging="936" w:left="4896"/>
      </w:pPr>
    </w:lvl>
    <w:lvl w:ilvl="6">
      <w:start w:val="1"/>
      <w:numFmt w:val="decimal"/>
      <w:lvlText w:val="%1.%2.%3.%4.%5.%6.%7."/>
      <w:lvlJc w:val="left"/>
      <w:pPr>
        <w:ind w:hanging="1080" w:left="5400"/>
      </w:pPr>
    </w:lvl>
    <w:lvl w:ilvl="7">
      <w:start w:val="1"/>
      <w:numFmt w:val="decimal"/>
      <w:lvlText w:val="%1.%2.%3.%4.%5.%6.%7.%8."/>
      <w:lvlJc w:val="left"/>
      <w:pPr>
        <w:ind w:hanging="1224" w:left="5904"/>
      </w:pPr>
    </w:lvl>
    <w:lvl w:ilvl="8">
      <w:start w:val="1"/>
      <w:numFmt w:val="decimal"/>
      <w:lvlText w:val="%1.%2.%3.%4.%5.%6.%7.%8.%9."/>
      <w:lvlJc w:val="left"/>
      <w:pPr>
        <w:ind w:hanging="1440" w:left="6480"/>
      </w:pPr>
    </w:lvl>
  </w:abstractNum>
  <w:abstractNum w:abstractNumId="1">
    <w:lvl w:ilvl="0">
      <w:start w:val="1"/>
      <w:numFmt w:val="decimal"/>
      <w:pStyle w:val="Style_16"/>
      <w:lvlText w:val="Таблица %1."/>
      <w:lvlJc w:val="center"/>
      <w:pPr>
        <w:ind w:hanging="360" w:left="2160"/>
      </w:pPr>
      <w:rPr>
        <w:sz w:val="26"/>
      </w:rPr>
    </w:lvl>
    <w:lvl w:ilvl="1">
      <w:start w:val="1"/>
      <w:numFmt w:val="lowerLetter"/>
      <w:lvlText w:val="%2."/>
      <w:lvlJc w:val="left"/>
      <w:pPr>
        <w:ind w:hanging="360" w:left="1800"/>
      </w:pPr>
    </w:lvl>
    <w:lvl w:ilvl="2">
      <w:start w:val="1"/>
      <w:numFmt w:val="lowerRoman"/>
      <w:lvlText w:val="%3."/>
      <w:lvlJc w:val="right"/>
      <w:pPr>
        <w:ind w:hanging="180" w:left="2520"/>
      </w:pPr>
    </w:lvl>
    <w:lvl w:ilvl="3">
      <w:start w:val="1"/>
      <w:numFmt w:val="decimal"/>
      <w:lvlText w:val="%4."/>
      <w:lvlJc w:val="left"/>
      <w:pPr>
        <w:ind w:hanging="360" w:left="3240"/>
      </w:pPr>
    </w:lvl>
    <w:lvl w:ilvl="4">
      <w:start w:val="1"/>
      <w:numFmt w:val="lowerLetter"/>
      <w:lvlText w:val="%5."/>
      <w:lvlJc w:val="left"/>
      <w:pPr>
        <w:ind w:hanging="360" w:left="3960"/>
      </w:pPr>
    </w:lvl>
    <w:lvl w:ilvl="5">
      <w:start w:val="1"/>
      <w:numFmt w:val="lowerRoman"/>
      <w:lvlText w:val="%6."/>
      <w:lvlJc w:val="right"/>
      <w:pPr>
        <w:ind w:hanging="180" w:left="4680"/>
      </w:pPr>
    </w:lvl>
    <w:lvl w:ilvl="6">
      <w:start w:val="1"/>
      <w:numFmt w:val="decimal"/>
      <w:lvlText w:val="%7."/>
      <w:lvlJc w:val="left"/>
      <w:pPr>
        <w:ind w:hanging="360" w:left="5400"/>
      </w:pPr>
    </w:lvl>
    <w:lvl w:ilvl="7">
      <w:start w:val="1"/>
      <w:numFmt w:val="lowerLetter"/>
      <w:lvlText w:val="%8."/>
      <w:lvlJc w:val="left"/>
      <w:pPr>
        <w:ind w:hanging="360" w:left="6120"/>
      </w:pPr>
    </w:lvl>
    <w:lvl w:ilvl="8">
      <w:start w:val="1"/>
      <w:numFmt w:val="lowerRoman"/>
      <w:lvlText w:val="%9."/>
      <w:lvlJc w:val="right"/>
      <w:pPr>
        <w:ind w:hanging="180" w:left="6840"/>
      </w:pPr>
    </w:lvl>
  </w:abstractNum>
  <w:abstractNum w:abstractNumId="2">
    <w:lvl w:ilvl="0">
      <w:start w:val="1"/>
      <w:numFmt w:val="russianLower"/>
      <w:pStyle w:val="Style_24"/>
      <w:lvlText w:val="%1)"/>
      <w:lvlJc w:val="left"/>
      <w:pPr>
        <w:tabs>
          <w:tab w:leader="none" w:pos="851" w:val="left"/>
        </w:tabs>
        <w:ind w:firstLine="1004" w:left="0"/>
      </w:pPr>
      <w:rPr>
        <w:rFonts w:ascii="Times New Roman" w:hAnsi="Times New Roman"/>
        <w:spacing w:val="0"/>
      </w:rPr>
    </w:lvl>
    <w:lvl w:ilvl="1">
      <w:start w:val="1"/>
      <w:numFmt w:val="lowerLetter"/>
      <w:lvlText w:val="%2."/>
      <w:lvlJc w:val="left"/>
      <w:pPr>
        <w:tabs>
          <w:tab w:leader="none" w:pos="2160" w:val="left"/>
        </w:tabs>
        <w:ind w:hanging="360" w:left="2160"/>
      </w:pPr>
    </w:lvl>
    <w:lvl w:ilvl="2">
      <w:start w:val="1"/>
      <w:numFmt w:val="lowerRoman"/>
      <w:lvlText w:val="%3."/>
      <w:lvlJc w:val="right"/>
      <w:pPr>
        <w:tabs>
          <w:tab w:leader="none" w:pos="2880" w:val="left"/>
        </w:tabs>
        <w:ind w:hanging="180" w:left="2880"/>
      </w:pPr>
    </w:lvl>
    <w:lvl w:ilvl="3">
      <w:start w:val="1"/>
      <w:numFmt w:val="decimal"/>
      <w:lvlText w:val="%4."/>
      <w:lvlJc w:val="left"/>
      <w:pPr>
        <w:tabs>
          <w:tab w:leader="none" w:pos="3600" w:val="left"/>
        </w:tabs>
        <w:ind w:hanging="360" w:left="3600"/>
      </w:pPr>
    </w:lvl>
    <w:lvl w:ilvl="4">
      <w:start w:val="1"/>
      <w:numFmt w:val="lowerLetter"/>
      <w:lvlText w:val="%5."/>
      <w:lvlJc w:val="left"/>
      <w:pPr>
        <w:tabs>
          <w:tab w:leader="none" w:pos="4320" w:val="left"/>
        </w:tabs>
        <w:ind w:hanging="360" w:left="4320"/>
      </w:pPr>
    </w:lvl>
    <w:lvl w:ilvl="5">
      <w:start w:val="1"/>
      <w:numFmt w:val="lowerRoman"/>
      <w:lvlText w:val="%6."/>
      <w:lvlJc w:val="right"/>
      <w:pPr>
        <w:tabs>
          <w:tab w:leader="none" w:pos="5040" w:val="left"/>
        </w:tabs>
        <w:ind w:hanging="180" w:left="5040"/>
      </w:pPr>
    </w:lvl>
    <w:lvl w:ilvl="6">
      <w:start w:val="1"/>
      <w:numFmt w:val="decimal"/>
      <w:lvlText w:val="%7."/>
      <w:lvlJc w:val="left"/>
      <w:pPr>
        <w:tabs>
          <w:tab w:leader="none" w:pos="5760" w:val="left"/>
        </w:tabs>
        <w:ind w:hanging="360" w:left="5760"/>
      </w:pPr>
    </w:lvl>
    <w:lvl w:ilvl="7">
      <w:start w:val="1"/>
      <w:numFmt w:val="lowerLetter"/>
      <w:lvlText w:val="%8."/>
      <w:lvlJc w:val="left"/>
      <w:pPr>
        <w:tabs>
          <w:tab w:leader="none" w:pos="6480" w:val="left"/>
        </w:tabs>
        <w:ind w:hanging="360" w:left="6480"/>
      </w:pPr>
    </w:lvl>
    <w:lvl w:ilvl="8">
      <w:start w:val="1"/>
      <w:numFmt w:val="lowerRoman"/>
      <w:lvlText w:val="%9."/>
      <w:lvlJc w:val="right"/>
      <w:pPr>
        <w:tabs>
          <w:tab w:leader="none" w:pos="7200" w:val="left"/>
        </w:tabs>
        <w:ind w:hanging="180" w:left="7200"/>
      </w:pPr>
    </w:lvl>
  </w:abstractNum>
  <w:abstractNum w:abstractNumId="3">
    <w:lvl w:ilvl="0">
      <w:start w:val="1"/>
      <w:numFmt w:val="decimal"/>
      <w:pStyle w:val="Style_31"/>
      <w:lvlText w:val="Рисунок %1."/>
      <w:lvlJc w:val="center"/>
      <w:pPr>
        <w:ind w:hanging="360" w:left="36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bullet"/>
      <w:pStyle w:val="Style_54"/>
      <w:lvlText w:val="-"/>
      <w:lvlJc w:val="left"/>
      <w:pPr>
        <w:ind w:hanging="360" w:left="1426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hanging="360" w:left="214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6"/>
      </w:pPr>
      <w:rPr>
        <w:rFonts w:ascii="Wingdings" w:hAnsi="Wingdings"/>
      </w:rPr>
    </w:lvl>
  </w:abstractNum>
  <w:abstractNum w:abstractNumId="5">
    <w:lvl w:ilvl="0">
      <w:start w:val="1"/>
      <w:numFmt w:val="bullet"/>
      <w:pStyle w:val="Style_94"/>
      <w:lvlText w:val=""/>
      <w:lvlJc w:val="left"/>
      <w:pPr>
        <w:tabs>
          <w:tab w:leader="none" w:pos="926" w:val="left"/>
        </w:tabs>
        <w:ind w:hanging="360" w:left="926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spacing w:after="200" w:line="276" w:lineRule="auto"/>
      <w:ind/>
    </w:pPr>
    <w:rPr>
      <w:sz w:val="22"/>
    </w:rPr>
  </w:style>
  <w:style w:default="1" w:styleId="Style_4_ch" w:type="character">
    <w:name w:val="Normal"/>
    <w:link w:val="Style_4"/>
    <w:rPr>
      <w:sz w:val="22"/>
    </w:rPr>
  </w:style>
  <w:style w:styleId="Style_5" w:type="paragraph">
    <w:name w:val="toc 2"/>
    <w:next w:val="Style_4"/>
    <w:link w:val="Style_5_ch"/>
    <w:uiPriority w:val="39"/>
    <w:pPr>
      <w:ind w:firstLine="0" w:left="200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Название книги1"/>
    <w:link w:val="Style_6_ch"/>
    <w:rPr>
      <w:b w:val="1"/>
      <w:smallCaps w:val="1"/>
      <w:spacing w:val="5"/>
    </w:rPr>
  </w:style>
  <w:style w:styleId="Style_6_ch" w:type="character">
    <w:name w:val="Название книги1"/>
    <w:link w:val="Style_6"/>
    <w:rPr>
      <w:b w:val="1"/>
      <w:smallCaps w:val="1"/>
      <w:spacing w:val="5"/>
    </w:rPr>
  </w:style>
  <w:style w:styleId="Style_7" w:type="paragraph">
    <w:name w:val="List Paragraph"/>
    <w:basedOn w:val="Style_4"/>
    <w:link w:val="Style_7_ch"/>
    <w:pPr>
      <w:ind w:firstLine="0" w:left="720"/>
      <w:contextualSpacing w:val="1"/>
    </w:pPr>
    <w:rPr>
      <w:sz w:val="20"/>
    </w:rPr>
  </w:style>
  <w:style w:styleId="Style_7_ch" w:type="character">
    <w:name w:val="List Paragraph"/>
    <w:basedOn w:val="Style_4_ch"/>
    <w:link w:val="Style_7"/>
    <w:rPr>
      <w:sz w:val="20"/>
    </w:rPr>
  </w:style>
  <w:style w:styleId="Style_8" w:type="paragraph">
    <w:name w:val="toc 4"/>
    <w:next w:val="Style_4"/>
    <w:link w:val="Style_8_ch"/>
    <w:uiPriority w:val="39"/>
    <w:pPr>
      <w:ind w:firstLine="0" w:left="600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heading 7"/>
    <w:basedOn w:val="Style_4"/>
    <w:next w:val="Style_4"/>
    <w:link w:val="Style_9_ch"/>
    <w:uiPriority w:val="9"/>
    <w:qFormat/>
    <w:pPr>
      <w:keepNext w:val="1"/>
      <w:keepLines w:val="1"/>
      <w:spacing w:after="0" w:before="200"/>
      <w:ind/>
      <w:outlineLvl w:val="6"/>
    </w:pPr>
    <w:rPr>
      <w:rFonts w:ascii="Cambria" w:hAnsi="Cambria"/>
      <w:i w:val="1"/>
      <w:color w:val="404040"/>
    </w:rPr>
  </w:style>
  <w:style w:styleId="Style_9_ch" w:type="character">
    <w:name w:val="heading 7"/>
    <w:basedOn w:val="Style_4_ch"/>
    <w:link w:val="Style_9"/>
    <w:rPr>
      <w:rFonts w:ascii="Cambria" w:hAnsi="Cambria"/>
      <w:i w:val="1"/>
      <w:color w:val="404040"/>
    </w:rPr>
  </w:style>
  <w:style w:styleId="Style_1" w:type="paragraph">
    <w:name w:val="footer"/>
    <w:basedOn w:val="Style_4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4_ch"/>
    <w:link w:val="Style_1"/>
  </w:style>
  <w:style w:styleId="Style_10" w:type="paragraph">
    <w:name w:val="НЗФ_Подзаголовок в тексте"/>
    <w:next w:val="Style_4"/>
    <w:link w:val="Style_10_ch"/>
    <w:pPr>
      <w:keepNext w:val="1"/>
      <w:keepLines w:val="1"/>
      <w:numPr>
        <w:ilvl w:val="3"/>
        <w:numId w:val="1"/>
      </w:numPr>
      <w:spacing w:after="100" w:before="100"/>
      <w:ind/>
      <w:outlineLvl w:val="3"/>
    </w:pPr>
    <w:rPr>
      <w:rFonts w:ascii="Times New Roman" w:hAnsi="Times New Roman"/>
      <w:sz w:val="24"/>
      <w:u w:val="single"/>
    </w:rPr>
  </w:style>
  <w:style w:styleId="Style_10_ch" w:type="character">
    <w:name w:val="НЗФ_Подзаголовок в тексте"/>
    <w:link w:val="Style_10"/>
    <w:rPr>
      <w:rFonts w:ascii="Times New Roman" w:hAnsi="Times New Roman"/>
      <w:sz w:val="24"/>
      <w:u w:val="single"/>
    </w:rPr>
  </w:style>
  <w:style w:styleId="Style_11" w:type="paragraph">
    <w:name w:val="toc 6"/>
    <w:next w:val="Style_4"/>
    <w:link w:val="Style_11_ch"/>
    <w:uiPriority w:val="39"/>
    <w:pPr>
      <w:ind w:firstLine="0" w:left="1000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4"/>
    <w:link w:val="Style_12_ch"/>
    <w:uiPriority w:val="39"/>
    <w:pPr>
      <w:ind w:firstLine="0" w:left="1200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Абзац"/>
    <w:basedOn w:val="Style_4"/>
    <w:link w:val="Style_13_ch"/>
    <w:pPr>
      <w:spacing w:after="60" w:before="120" w:line="240" w:lineRule="auto"/>
      <w:ind w:firstLine="567" w:left="0"/>
      <w:jc w:val="both"/>
    </w:pPr>
    <w:rPr>
      <w:sz w:val="24"/>
    </w:rPr>
  </w:style>
  <w:style w:styleId="Style_13_ch" w:type="character">
    <w:name w:val="Абзац"/>
    <w:basedOn w:val="Style_4_ch"/>
    <w:link w:val="Style_13"/>
    <w:rPr>
      <w:sz w:val="24"/>
    </w:rPr>
  </w:style>
  <w:style w:styleId="Style_14" w:type="paragraph">
    <w:name w:val="Знак сноски1"/>
    <w:link w:val="Style_14_ch"/>
    <w:rPr>
      <w:vertAlign w:val="superscript"/>
    </w:rPr>
  </w:style>
  <w:style w:styleId="Style_14_ch" w:type="character">
    <w:name w:val="Знак сноски1"/>
    <w:link w:val="Style_14"/>
    <w:rPr>
      <w:vertAlign w:val="superscript"/>
    </w:rPr>
  </w:style>
  <w:style w:styleId="Style_15" w:type="paragraph">
    <w:name w:val="Основной текст + 11 pt;Интервал 0 pt"/>
    <w:link w:val="Style_15_ch"/>
    <w:rPr>
      <w:rFonts w:ascii="Times New Roman" w:hAnsi="Times New Roman"/>
      <w:spacing w:val="1"/>
      <w:sz w:val="22"/>
      <w:highlight w:val="white"/>
    </w:rPr>
  </w:style>
  <w:style w:styleId="Style_15_ch" w:type="character">
    <w:name w:val="Основной текст + 11 pt;Интервал 0 pt"/>
    <w:link w:val="Style_15"/>
    <w:rPr>
      <w:rFonts w:ascii="Times New Roman" w:hAnsi="Times New Roman"/>
      <w:spacing w:val="1"/>
      <w:sz w:val="22"/>
      <w:highlight w:val="white"/>
    </w:rPr>
  </w:style>
  <w:style w:styleId="Style_16" w:type="paragraph">
    <w:name w:val="НЗФ_Подпись таблицы"/>
    <w:next w:val="Style_17"/>
    <w:link w:val="Style_16_ch"/>
    <w:pPr>
      <w:numPr>
        <w:numId w:val="2"/>
      </w:numPr>
      <w:spacing w:before="100"/>
      <w:ind/>
      <w:jc w:val="center"/>
    </w:pPr>
    <w:rPr>
      <w:rFonts w:ascii="Times New Roman" w:hAnsi="Times New Roman"/>
      <w:b w:val="1"/>
      <w:sz w:val="24"/>
    </w:rPr>
  </w:style>
  <w:style w:styleId="Style_16_ch" w:type="character">
    <w:name w:val="НЗФ_Подпись таблицы"/>
    <w:link w:val="Style_16"/>
    <w:rPr>
      <w:rFonts w:ascii="Times New Roman" w:hAnsi="Times New Roman"/>
      <w:b w:val="1"/>
      <w:sz w:val="24"/>
    </w:rPr>
  </w:style>
  <w:style w:styleId="Style_18" w:type="paragraph">
    <w:name w:val="heading 3"/>
    <w:basedOn w:val="Style_4"/>
    <w:next w:val="Style_4"/>
    <w:link w:val="Style_18_ch"/>
    <w:uiPriority w:val="9"/>
    <w:qFormat/>
    <w:pPr>
      <w:keepNext w:val="1"/>
      <w:keepLines w:val="1"/>
      <w:spacing w:after="0" w:before="200"/>
      <w:ind/>
      <w:outlineLvl w:val="2"/>
    </w:pPr>
    <w:rPr>
      <w:rFonts w:ascii="Cambria" w:hAnsi="Cambria"/>
      <w:b w:val="1"/>
      <w:color w:val="4F81BD"/>
    </w:rPr>
  </w:style>
  <w:style w:styleId="Style_18_ch" w:type="character">
    <w:name w:val="heading 3"/>
    <w:basedOn w:val="Style_4_ch"/>
    <w:link w:val="Style_18"/>
    <w:rPr>
      <w:rFonts w:ascii="Cambria" w:hAnsi="Cambria"/>
      <w:b w:val="1"/>
      <w:color w:val="4F81BD"/>
    </w:rPr>
  </w:style>
  <w:style w:styleId="Style_19" w:type="paragraph">
    <w:name w:val="Основной шрифт абзаца1"/>
    <w:link w:val="Style_19_ch"/>
  </w:style>
  <w:style w:styleId="Style_19_ch" w:type="character">
    <w:name w:val="Основной шрифт абзаца1"/>
    <w:link w:val="Style_19"/>
  </w:style>
  <w:style w:styleId="Style_20" w:type="paragraph">
    <w:name w:val="Выделение1"/>
    <w:link w:val="Style_20_ch"/>
    <w:rPr>
      <w:i w:val="1"/>
    </w:rPr>
  </w:style>
  <w:style w:styleId="Style_20_ch" w:type="character">
    <w:name w:val="Выделение1"/>
    <w:link w:val="Style_20"/>
    <w:rPr>
      <w:i w:val="1"/>
    </w:rPr>
  </w:style>
  <w:style w:styleId="Style_21" w:type="paragraph">
    <w:name w:val="Quote"/>
    <w:basedOn w:val="Style_4"/>
    <w:next w:val="Style_4"/>
    <w:link w:val="Style_21_ch"/>
    <w:rPr>
      <w:i w:val="1"/>
    </w:rPr>
  </w:style>
  <w:style w:styleId="Style_21_ch" w:type="character">
    <w:name w:val="Quote"/>
    <w:basedOn w:val="Style_4_ch"/>
    <w:link w:val="Style_21"/>
    <w:rPr>
      <w:i w:val="1"/>
    </w:rPr>
  </w:style>
  <w:style w:styleId="Style_22" w:type="paragraph">
    <w:name w:val="heading 9"/>
    <w:basedOn w:val="Style_4"/>
    <w:next w:val="Style_4"/>
    <w:link w:val="Style_22_ch"/>
    <w:uiPriority w:val="9"/>
    <w:qFormat/>
    <w:pPr>
      <w:keepNext w:val="1"/>
      <w:keepLines w:val="1"/>
      <w:spacing w:after="0" w:before="200"/>
      <w:ind/>
      <w:outlineLvl w:val="8"/>
    </w:pPr>
    <w:rPr>
      <w:rFonts w:ascii="Cambria" w:hAnsi="Cambria"/>
      <w:i w:val="1"/>
      <w:color w:val="404040"/>
      <w:sz w:val="20"/>
    </w:rPr>
  </w:style>
  <w:style w:styleId="Style_22_ch" w:type="character">
    <w:name w:val="heading 9"/>
    <w:basedOn w:val="Style_4_ch"/>
    <w:link w:val="Style_22"/>
    <w:rPr>
      <w:rFonts w:ascii="Cambria" w:hAnsi="Cambria"/>
      <w:i w:val="1"/>
      <w:color w:val="404040"/>
      <w:sz w:val="20"/>
    </w:rPr>
  </w:style>
  <w:style w:styleId="Style_23" w:type="paragraph">
    <w:name w:val="Слабая ссылка1"/>
    <w:link w:val="Style_23_ch"/>
    <w:rPr>
      <w:smallCaps w:val="1"/>
      <w:color w:val="C0504D"/>
      <w:u w:val="single"/>
    </w:rPr>
  </w:style>
  <w:style w:styleId="Style_23_ch" w:type="character">
    <w:name w:val="Слабая ссылка1"/>
    <w:link w:val="Style_23"/>
    <w:rPr>
      <w:smallCaps w:val="1"/>
      <w:color w:val="C0504D"/>
      <w:u w:val="single"/>
    </w:rPr>
  </w:style>
  <w:style w:styleId="Style_24" w:type="paragraph">
    <w:name w:val="ОГП_Список"/>
    <w:basedOn w:val="Style_4"/>
    <w:link w:val="Style_24_ch"/>
    <w:pPr>
      <w:numPr>
        <w:numId w:val="3"/>
      </w:numPr>
      <w:tabs>
        <w:tab w:leader="none" w:pos="1134" w:val="left"/>
      </w:tabs>
      <w:spacing w:after="0" w:line="240" w:lineRule="auto"/>
      <w:ind/>
      <w:jc w:val="both"/>
    </w:pPr>
    <w:rPr>
      <w:rFonts w:ascii="Times New Roman" w:hAnsi="Times New Roman"/>
      <w:sz w:val="28"/>
    </w:rPr>
  </w:style>
  <w:style w:styleId="Style_24_ch" w:type="character">
    <w:name w:val="ОГП_Список"/>
    <w:basedOn w:val="Style_4_ch"/>
    <w:link w:val="Style_24"/>
    <w:rPr>
      <w:rFonts w:ascii="Times New Roman" w:hAnsi="Times New Roman"/>
      <w:sz w:val="28"/>
    </w:rPr>
  </w:style>
  <w:style w:styleId="Style_25" w:type="paragraph">
    <w:name w:val="Строгий1"/>
    <w:link w:val="Style_25_ch"/>
    <w:rPr>
      <w:b w:val="1"/>
    </w:rPr>
  </w:style>
  <w:style w:styleId="Style_25_ch" w:type="character">
    <w:name w:val="Строгий1"/>
    <w:link w:val="Style_25"/>
    <w:rPr>
      <w:b w:val="1"/>
    </w:rPr>
  </w:style>
  <w:style w:styleId="Style_26" w:type="paragraph">
    <w:name w:val="Font Style22"/>
    <w:link w:val="Style_26_ch"/>
    <w:rPr>
      <w:rFonts w:ascii="Cambria" w:hAnsi="Cambria"/>
      <w:b w:val="1"/>
      <w:sz w:val="18"/>
    </w:rPr>
  </w:style>
  <w:style w:styleId="Style_26_ch" w:type="character">
    <w:name w:val="Font Style22"/>
    <w:link w:val="Style_26"/>
    <w:rPr>
      <w:rFonts w:ascii="Cambria" w:hAnsi="Cambria"/>
      <w:b w:val="1"/>
      <w:sz w:val="18"/>
    </w:rPr>
  </w:style>
  <w:style w:styleId="Style_27" w:type="paragraph">
    <w:name w:val="Default Paragraph Font"/>
    <w:link w:val="Style_27_ch"/>
  </w:style>
  <w:style w:styleId="Style_27_ch" w:type="character">
    <w:name w:val="Default Paragraph Font"/>
    <w:link w:val="Style_27"/>
  </w:style>
  <w:style w:styleId="Style_28" w:type="paragraph">
    <w:name w:val="c2"/>
    <w:basedOn w:val="Style_29"/>
    <w:link w:val="Style_28_ch"/>
  </w:style>
  <w:style w:styleId="Style_28_ch" w:type="character">
    <w:name w:val="c2"/>
    <w:basedOn w:val="Style_29_ch"/>
    <w:link w:val="Style_28"/>
  </w:style>
  <w:style w:styleId="Style_30" w:type="paragraph">
    <w:name w:val="Table Paragraph"/>
    <w:basedOn w:val="Style_4"/>
    <w:link w:val="Style_30_ch"/>
    <w:pPr>
      <w:widowControl w:val="0"/>
      <w:spacing w:after="0" w:line="240" w:lineRule="auto"/>
      <w:ind/>
    </w:pPr>
  </w:style>
  <w:style w:styleId="Style_30_ch" w:type="character">
    <w:name w:val="Table Paragraph"/>
    <w:basedOn w:val="Style_4_ch"/>
    <w:link w:val="Style_30"/>
  </w:style>
  <w:style w:styleId="Style_31" w:type="paragraph">
    <w:name w:val="НЗФ_Подпись рисунка"/>
    <w:link w:val="Style_31_ch"/>
    <w:pPr>
      <w:numPr>
        <w:numId w:val="4"/>
      </w:numPr>
      <w:spacing w:after="200" w:before="200"/>
      <w:ind w:firstLine="0" w:left="0"/>
      <w:jc w:val="center"/>
    </w:pPr>
    <w:rPr>
      <w:rFonts w:ascii="Times New Roman" w:hAnsi="Times New Roman"/>
      <w:b w:val="1"/>
      <w:sz w:val="24"/>
    </w:rPr>
  </w:style>
  <w:style w:styleId="Style_31_ch" w:type="character">
    <w:name w:val="НЗФ_Подпись рисунка"/>
    <w:link w:val="Style_31"/>
    <w:rPr>
      <w:rFonts w:ascii="Times New Roman" w:hAnsi="Times New Roman"/>
      <w:b w:val="1"/>
      <w:sz w:val="24"/>
    </w:rPr>
  </w:style>
  <w:style w:styleId="Style_32" w:type="paragraph">
    <w:name w:val="Название1"/>
    <w:basedOn w:val="Style_4"/>
    <w:next w:val="Style_4"/>
    <w:link w:val="Style_32_ch"/>
    <w:pPr>
      <w:spacing w:after="300" w:line="240" w:lineRule="auto"/>
      <w:ind/>
      <w:contextualSpacing w:val="1"/>
    </w:pPr>
    <w:rPr>
      <w:rFonts w:ascii="Cambria" w:hAnsi="Cambria"/>
      <w:color w:val="17365D"/>
      <w:spacing w:val="5"/>
      <w:sz w:val="52"/>
    </w:rPr>
  </w:style>
  <w:style w:styleId="Style_32_ch" w:type="character">
    <w:name w:val="Название1"/>
    <w:basedOn w:val="Style_4_ch"/>
    <w:link w:val="Style_32"/>
    <w:rPr>
      <w:rFonts w:ascii="Cambria" w:hAnsi="Cambria"/>
      <w:color w:val="17365D"/>
      <w:spacing w:val="5"/>
      <w:sz w:val="52"/>
    </w:rPr>
  </w:style>
  <w:style w:styleId="Style_33" w:type="paragraph">
    <w:name w:val="Default"/>
    <w:link w:val="Style_33_ch"/>
    <w:rPr>
      <w:rFonts w:ascii="Times New Roman" w:hAnsi="Times New Roman"/>
      <w:sz w:val="24"/>
    </w:rPr>
  </w:style>
  <w:style w:styleId="Style_33_ch" w:type="character">
    <w:name w:val="Default"/>
    <w:link w:val="Style_33"/>
    <w:rPr>
      <w:rFonts w:ascii="Times New Roman" w:hAnsi="Times New Roman"/>
      <w:sz w:val="24"/>
    </w:rPr>
  </w:style>
  <w:style w:styleId="Style_34" w:type="paragraph">
    <w:name w:val="s_1"/>
    <w:basedOn w:val="Style_4"/>
    <w:link w:val="Style_3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4_ch" w:type="character">
    <w:name w:val="s_1"/>
    <w:basedOn w:val="Style_4_ch"/>
    <w:link w:val="Style_34"/>
    <w:rPr>
      <w:rFonts w:ascii="Times New Roman" w:hAnsi="Times New Roman"/>
      <w:sz w:val="24"/>
    </w:rPr>
  </w:style>
  <w:style w:styleId="Style_35" w:type="paragraph">
    <w:name w:val="Слабое выделение1"/>
    <w:link w:val="Style_35_ch"/>
    <w:rPr>
      <w:i w:val="1"/>
      <w:color w:val="808080"/>
    </w:rPr>
  </w:style>
  <w:style w:styleId="Style_35_ch" w:type="character">
    <w:name w:val="Слабое выделение1"/>
    <w:link w:val="Style_35"/>
    <w:rPr>
      <w:i w:val="1"/>
      <w:color w:val="808080"/>
    </w:rPr>
  </w:style>
  <w:style w:styleId="Style_36" w:type="paragraph">
    <w:name w:val="toc 3"/>
    <w:next w:val="Style_4"/>
    <w:link w:val="Style_36_ch"/>
    <w:uiPriority w:val="39"/>
    <w:pPr>
      <w:ind w:firstLine="0" w:left="400"/>
    </w:pPr>
    <w:rPr>
      <w:rFonts w:ascii="XO Thames" w:hAnsi="XO Thames"/>
      <w:sz w:val="28"/>
    </w:rPr>
  </w:style>
  <w:style w:styleId="Style_36_ch" w:type="character">
    <w:name w:val="toc 3"/>
    <w:link w:val="Style_36"/>
    <w:rPr>
      <w:rFonts w:ascii="XO Thames" w:hAnsi="XO Thames"/>
      <w:sz w:val="28"/>
    </w:rPr>
  </w:style>
  <w:style w:styleId="Style_37" w:type="paragraph">
    <w:name w:val="Заголовок 21"/>
    <w:basedOn w:val="Style_4"/>
    <w:link w:val="Style_37_ch"/>
    <w:pPr>
      <w:widowControl w:val="0"/>
      <w:spacing w:after="0" w:before="127" w:line="240" w:lineRule="auto"/>
      <w:ind w:hanging="593" w:left="1697"/>
      <w:outlineLvl w:val="2"/>
    </w:pPr>
    <w:rPr>
      <w:rFonts w:ascii="Times New Roman" w:hAnsi="Times New Roman"/>
      <w:b w:val="1"/>
      <w:sz w:val="26"/>
    </w:rPr>
  </w:style>
  <w:style w:styleId="Style_37_ch" w:type="character">
    <w:name w:val="Заголовок 21"/>
    <w:basedOn w:val="Style_4_ch"/>
    <w:link w:val="Style_37"/>
    <w:rPr>
      <w:rFonts w:ascii="Times New Roman" w:hAnsi="Times New Roman"/>
      <w:b w:val="1"/>
      <w:sz w:val="26"/>
    </w:rPr>
  </w:style>
  <w:style w:styleId="Style_38" w:type="paragraph">
    <w:name w:val="Гипертекстовая ссылка"/>
    <w:link w:val="Style_38_ch"/>
    <w:rPr>
      <w:color w:val="106BBE"/>
    </w:rPr>
  </w:style>
  <w:style w:styleId="Style_38_ch" w:type="character">
    <w:name w:val="Гипертекстовая ссылка"/>
    <w:link w:val="Style_38"/>
    <w:rPr>
      <w:color w:val="106BBE"/>
    </w:rPr>
  </w:style>
  <w:style w:styleId="Style_39" w:type="paragraph">
    <w:name w:val="Обычный1"/>
    <w:link w:val="Style_39_ch"/>
    <w:rPr>
      <w:sz w:val="22"/>
    </w:rPr>
  </w:style>
  <w:style w:styleId="Style_39_ch" w:type="character">
    <w:name w:val="Обычный1"/>
    <w:link w:val="Style_39"/>
    <w:rPr>
      <w:sz w:val="22"/>
    </w:rPr>
  </w:style>
  <w:style w:styleId="Style_40" w:type="paragraph">
    <w:name w:val="Balloon Text"/>
    <w:basedOn w:val="Style_4"/>
    <w:link w:val="Style_40_ch"/>
    <w:pPr>
      <w:spacing w:after="0" w:line="240" w:lineRule="auto"/>
      <w:ind/>
    </w:pPr>
    <w:rPr>
      <w:rFonts w:ascii="Tahoma" w:hAnsi="Tahoma"/>
      <w:sz w:val="16"/>
    </w:rPr>
  </w:style>
  <w:style w:styleId="Style_40_ch" w:type="character">
    <w:name w:val="Balloon Text"/>
    <w:basedOn w:val="Style_4_ch"/>
    <w:link w:val="Style_40"/>
    <w:rPr>
      <w:rFonts w:ascii="Tahoma" w:hAnsi="Tahoma"/>
      <w:sz w:val="16"/>
    </w:rPr>
  </w:style>
  <w:style w:styleId="Style_41" w:type="paragraph">
    <w:name w:val="consnormal"/>
    <w:basedOn w:val="Style_4"/>
    <w:link w:val="Style_4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1_ch" w:type="character">
    <w:name w:val="consnormal"/>
    <w:basedOn w:val="Style_4_ch"/>
    <w:link w:val="Style_41"/>
    <w:rPr>
      <w:rFonts w:ascii="Times New Roman" w:hAnsi="Times New Roman"/>
      <w:sz w:val="24"/>
    </w:rPr>
  </w:style>
  <w:style w:styleId="Style_42" w:type="paragraph">
    <w:name w:val="Intense Quote"/>
    <w:basedOn w:val="Style_4"/>
    <w:next w:val="Style_4"/>
    <w:link w:val="Style_42_ch"/>
    <w:pPr>
      <w:spacing w:after="280" w:before="200"/>
      <w:ind w:firstLine="0" w:left="936" w:right="936"/>
    </w:pPr>
    <w:rPr>
      <w:b w:val="1"/>
      <w:i w:val="1"/>
      <w:color w:val="4F81BD"/>
    </w:rPr>
  </w:style>
  <w:style w:styleId="Style_42_ch" w:type="character">
    <w:name w:val="Intense Quote"/>
    <w:basedOn w:val="Style_4_ch"/>
    <w:link w:val="Style_42"/>
    <w:rPr>
      <w:b w:val="1"/>
      <w:i w:val="1"/>
      <w:color w:val="4F81BD"/>
    </w:rPr>
  </w:style>
  <w:style w:styleId="Style_43" w:type="paragraph">
    <w:name w:val="heading 5"/>
    <w:basedOn w:val="Style_4"/>
    <w:next w:val="Style_4"/>
    <w:link w:val="Style_43_ch"/>
    <w:uiPriority w:val="9"/>
    <w:qFormat/>
    <w:pPr>
      <w:keepNext w:val="1"/>
      <w:keepLines w:val="1"/>
      <w:spacing w:after="0" w:before="200"/>
      <w:ind/>
      <w:outlineLvl w:val="4"/>
    </w:pPr>
    <w:rPr>
      <w:rFonts w:ascii="Cambria" w:hAnsi="Cambria"/>
      <w:color w:val="243F60"/>
    </w:rPr>
  </w:style>
  <w:style w:styleId="Style_43_ch" w:type="character">
    <w:name w:val="heading 5"/>
    <w:basedOn w:val="Style_4_ch"/>
    <w:link w:val="Style_43"/>
    <w:rPr>
      <w:rFonts w:ascii="Cambria" w:hAnsi="Cambria"/>
      <w:color w:val="243F60"/>
    </w:rPr>
  </w:style>
  <w:style w:styleId="Style_44" w:type="paragraph">
    <w:name w:val="Гиперссылка1"/>
    <w:link w:val="Style_44_ch"/>
    <w:rPr>
      <w:color w:val="0000FF"/>
      <w:u w:val="single"/>
    </w:rPr>
  </w:style>
  <w:style w:styleId="Style_44_ch" w:type="character">
    <w:name w:val="Гиперссылка1"/>
    <w:link w:val="Style_44"/>
    <w:rPr>
      <w:color w:val="0000FF"/>
      <w:u w:val="single"/>
    </w:rPr>
  </w:style>
  <w:style w:styleId="Style_45" w:type="paragraph">
    <w:name w:val="Normal (Web)"/>
    <w:basedOn w:val="Style_4"/>
    <w:link w:val="Style_4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5_ch" w:type="character">
    <w:name w:val="Normal (Web)"/>
    <w:basedOn w:val="Style_4_ch"/>
    <w:link w:val="Style_45"/>
    <w:rPr>
      <w:rFonts w:ascii="Times New Roman" w:hAnsi="Times New Roman"/>
      <w:sz w:val="24"/>
    </w:rPr>
  </w:style>
  <w:style w:styleId="Style_46" w:type="paragraph">
    <w:name w:val="Знак Знак Знак Знак Знак Знак Знак Знак Знак Знак2"/>
    <w:basedOn w:val="Style_4"/>
    <w:link w:val="Style_46_ch"/>
    <w:pPr>
      <w:spacing w:after="0" w:line="240" w:lineRule="exact"/>
      <w:ind/>
      <w:jc w:val="both"/>
    </w:pPr>
    <w:rPr>
      <w:rFonts w:ascii="Times New Roman" w:hAnsi="Times New Roman"/>
      <w:sz w:val="24"/>
    </w:rPr>
  </w:style>
  <w:style w:styleId="Style_46_ch" w:type="character">
    <w:name w:val="Знак Знак Знак Знак Знак Знак Знак Знак Знак Знак2"/>
    <w:basedOn w:val="Style_4_ch"/>
    <w:link w:val="Style_46"/>
    <w:rPr>
      <w:rFonts w:ascii="Times New Roman" w:hAnsi="Times New Roman"/>
      <w:sz w:val="24"/>
    </w:rPr>
  </w:style>
  <w:style w:styleId="Style_47" w:type="paragraph">
    <w:name w:val="heading 1"/>
    <w:basedOn w:val="Style_4"/>
    <w:next w:val="Style_4"/>
    <w:link w:val="Style_47_ch"/>
    <w:uiPriority w:val="9"/>
    <w:qFormat/>
    <w:pPr>
      <w:keepNext w:val="1"/>
      <w:keepLines w:val="1"/>
      <w:spacing w:after="0" w:before="480"/>
      <w:ind/>
      <w:outlineLvl w:val="0"/>
    </w:pPr>
    <w:rPr>
      <w:rFonts w:ascii="Cambria" w:hAnsi="Cambria"/>
      <w:b w:val="1"/>
      <w:color w:val="365F91"/>
      <w:sz w:val="28"/>
    </w:rPr>
  </w:style>
  <w:style w:styleId="Style_47_ch" w:type="character">
    <w:name w:val="heading 1"/>
    <w:basedOn w:val="Style_4_ch"/>
    <w:link w:val="Style_47"/>
    <w:rPr>
      <w:rFonts w:ascii="Cambria" w:hAnsi="Cambria"/>
      <w:b w:val="1"/>
      <w:color w:val="365F91"/>
      <w:sz w:val="28"/>
    </w:rPr>
  </w:style>
  <w:style w:styleId="Style_48" w:type="paragraph">
    <w:name w:val="s_16"/>
    <w:basedOn w:val="Style_4"/>
    <w:link w:val="Style_4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8_ch" w:type="character">
    <w:name w:val="s_16"/>
    <w:basedOn w:val="Style_4_ch"/>
    <w:link w:val="Style_48"/>
    <w:rPr>
      <w:rFonts w:ascii="Times New Roman" w:hAnsi="Times New Roman"/>
      <w:sz w:val="24"/>
    </w:rPr>
  </w:style>
  <w:style w:styleId="Style_49" w:type="paragraph">
    <w:name w:val="НЗФ_ЗАГОЛОВОК 1.1."/>
    <w:next w:val="Style_4"/>
    <w:link w:val="Style_49_ch"/>
    <w:pPr>
      <w:keepNext w:val="1"/>
      <w:keepLines w:val="1"/>
      <w:numPr>
        <w:ilvl w:val="1"/>
        <w:numId w:val="1"/>
      </w:numPr>
      <w:spacing w:after="200" w:before="200"/>
      <w:ind/>
      <w:outlineLvl w:val="1"/>
    </w:pPr>
    <w:rPr>
      <w:rFonts w:ascii="Times New Roman" w:hAnsi="Times New Roman"/>
      <w:b w:val="1"/>
      <w:sz w:val="26"/>
    </w:rPr>
  </w:style>
  <w:style w:styleId="Style_49_ch" w:type="character">
    <w:name w:val="НЗФ_ЗАГОЛОВОК 1.1."/>
    <w:link w:val="Style_49"/>
    <w:rPr>
      <w:rFonts w:ascii="Times New Roman" w:hAnsi="Times New Roman"/>
      <w:b w:val="1"/>
      <w:sz w:val="26"/>
    </w:rPr>
  </w:style>
  <w:style w:styleId="Style_50" w:type="paragraph">
    <w:name w:val="Hyperlink"/>
    <w:link w:val="Style_50_ch"/>
    <w:rPr>
      <w:color w:val="0000FF"/>
      <w:u w:val="single"/>
    </w:rPr>
  </w:style>
  <w:style w:styleId="Style_50_ch" w:type="character">
    <w:name w:val="Hyperlink"/>
    <w:link w:val="Style_50"/>
    <w:rPr>
      <w:color w:val="0000FF"/>
      <w:u w:val="single"/>
    </w:rPr>
  </w:style>
  <w:style w:styleId="Style_51" w:type="paragraph">
    <w:name w:val="Footnote"/>
    <w:basedOn w:val="Style_4"/>
    <w:link w:val="Style_51_ch"/>
    <w:pPr>
      <w:spacing w:after="60" w:line="240" w:lineRule="auto"/>
      <w:ind/>
      <w:jc w:val="both"/>
    </w:pPr>
    <w:rPr>
      <w:rFonts w:ascii="Times New Roman" w:hAnsi="Times New Roman"/>
      <w:sz w:val="20"/>
    </w:rPr>
  </w:style>
  <w:style w:styleId="Style_51_ch" w:type="character">
    <w:name w:val="Footnote"/>
    <w:basedOn w:val="Style_4_ch"/>
    <w:link w:val="Style_51"/>
    <w:rPr>
      <w:rFonts w:ascii="Times New Roman" w:hAnsi="Times New Roman"/>
      <w:sz w:val="20"/>
    </w:rPr>
  </w:style>
  <w:style w:styleId="Style_52" w:type="paragraph">
    <w:name w:val="heading 8"/>
    <w:basedOn w:val="Style_4"/>
    <w:next w:val="Style_4"/>
    <w:link w:val="Style_52_ch"/>
    <w:uiPriority w:val="9"/>
    <w:qFormat/>
    <w:pPr>
      <w:keepNext w:val="1"/>
      <w:keepLines w:val="1"/>
      <w:spacing w:after="0" w:before="200"/>
      <w:ind/>
      <w:outlineLvl w:val="7"/>
    </w:pPr>
    <w:rPr>
      <w:rFonts w:ascii="Cambria" w:hAnsi="Cambria"/>
      <w:color w:val="4F81BD"/>
      <w:sz w:val="20"/>
    </w:rPr>
  </w:style>
  <w:style w:styleId="Style_52_ch" w:type="character">
    <w:name w:val="heading 8"/>
    <w:basedOn w:val="Style_4_ch"/>
    <w:link w:val="Style_52"/>
    <w:rPr>
      <w:rFonts w:ascii="Cambria" w:hAnsi="Cambria"/>
      <w:color w:val="4F81BD"/>
      <w:sz w:val="20"/>
    </w:rPr>
  </w:style>
  <w:style w:styleId="Style_53" w:type="paragraph">
    <w:name w:val="apple-converted-space"/>
    <w:basedOn w:val="Style_29"/>
    <w:link w:val="Style_53_ch"/>
  </w:style>
  <w:style w:styleId="Style_53_ch" w:type="character">
    <w:name w:val="apple-converted-space"/>
    <w:basedOn w:val="Style_29_ch"/>
    <w:link w:val="Style_53"/>
  </w:style>
  <w:style w:styleId="Style_54" w:type="paragraph">
    <w:name w:val="НЗФ_Текст_Список"/>
    <w:basedOn w:val="Style_17"/>
    <w:link w:val="Style_54_ch"/>
    <w:pPr>
      <w:numPr>
        <w:numId w:val="5"/>
      </w:numPr>
      <w:tabs>
        <w:tab w:leader="none" w:pos="900" w:val="left"/>
      </w:tabs>
      <w:ind w:firstLine="706" w:left="0"/>
    </w:pPr>
  </w:style>
  <w:style w:styleId="Style_54_ch" w:type="character">
    <w:name w:val="НЗФ_Текст_Список"/>
    <w:basedOn w:val="Style_17_ch"/>
    <w:link w:val="Style_54"/>
  </w:style>
  <w:style w:styleId="Style_55" w:type="paragraph">
    <w:name w:val="toc 1"/>
    <w:next w:val="Style_4"/>
    <w:link w:val="Style_55_ch"/>
    <w:uiPriority w:val="39"/>
    <w:rPr>
      <w:rFonts w:ascii="XO Thames" w:hAnsi="XO Thames"/>
      <w:b w:val="1"/>
      <w:sz w:val="28"/>
    </w:rPr>
  </w:style>
  <w:style w:styleId="Style_55_ch" w:type="character">
    <w:name w:val="toc 1"/>
    <w:link w:val="Style_55"/>
    <w:rPr>
      <w:rFonts w:ascii="XO Thames" w:hAnsi="XO Thames"/>
      <w:b w:val="1"/>
      <w:sz w:val="28"/>
    </w:rPr>
  </w:style>
  <w:style w:styleId="Style_56" w:type="paragraph">
    <w:name w:val="Гиперссылка1"/>
    <w:link w:val="Style_56_ch"/>
    <w:rPr>
      <w:color w:val="0000FF"/>
      <w:u w:val="single"/>
    </w:rPr>
  </w:style>
  <w:style w:styleId="Style_56_ch" w:type="character">
    <w:name w:val="Гиперссылка1"/>
    <w:link w:val="Style_56"/>
    <w:rPr>
      <w:color w:val="0000FF"/>
      <w:u w:val="single"/>
    </w:rPr>
  </w:style>
  <w:style w:styleId="Style_57" w:type="paragraph">
    <w:name w:val="formattext"/>
    <w:basedOn w:val="Style_4"/>
    <w:link w:val="Style_5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7_ch" w:type="character">
    <w:name w:val="formattext"/>
    <w:basedOn w:val="Style_4_ch"/>
    <w:link w:val="Style_57"/>
    <w:rPr>
      <w:rFonts w:ascii="Times New Roman" w:hAnsi="Times New Roman"/>
      <w:sz w:val="24"/>
    </w:rPr>
  </w:style>
  <w:style w:styleId="Style_58" w:type="paragraph">
    <w:name w:val="Body Text Indent"/>
    <w:basedOn w:val="Style_4"/>
    <w:link w:val="Style_58_ch"/>
    <w:pPr>
      <w:spacing w:after="120"/>
      <w:ind w:firstLine="0" w:left="283"/>
    </w:pPr>
  </w:style>
  <w:style w:styleId="Style_58_ch" w:type="character">
    <w:name w:val="Body Text Indent"/>
    <w:basedOn w:val="Style_4_ch"/>
    <w:link w:val="Style_58"/>
  </w:style>
  <w:style w:styleId="Style_59" w:type="paragraph">
    <w:name w:val="Header and Footer"/>
    <w:link w:val="Style_59_ch"/>
    <w:pPr>
      <w:ind/>
      <w:jc w:val="both"/>
    </w:pPr>
    <w:rPr>
      <w:rFonts w:ascii="XO Thames" w:hAnsi="XO Thames"/>
    </w:rPr>
  </w:style>
  <w:style w:styleId="Style_59_ch" w:type="character">
    <w:name w:val="Header and Footer"/>
    <w:link w:val="Style_59"/>
    <w:rPr>
      <w:rFonts w:ascii="XO Thames" w:hAnsi="XO Thames"/>
    </w:rPr>
  </w:style>
  <w:style w:styleId="Style_60" w:type="paragraph">
    <w:name w:val="Знак примечания1"/>
    <w:link w:val="Style_60_ch"/>
    <w:rPr>
      <w:sz w:val="16"/>
    </w:rPr>
  </w:style>
  <w:style w:styleId="Style_60_ch" w:type="character">
    <w:name w:val="Знак примечания1"/>
    <w:link w:val="Style_60"/>
    <w:rPr>
      <w:sz w:val="16"/>
    </w:rPr>
  </w:style>
  <w:style w:styleId="Style_61" w:type="paragraph">
    <w:name w:val="nowrap"/>
    <w:basedOn w:val="Style_29"/>
    <w:link w:val="Style_61_ch"/>
  </w:style>
  <w:style w:styleId="Style_61_ch" w:type="character">
    <w:name w:val="nowrap"/>
    <w:basedOn w:val="Style_29_ch"/>
    <w:link w:val="Style_61"/>
  </w:style>
  <w:style w:styleId="Style_62" w:type="paragraph">
    <w:name w:val="Сильная ссылка1"/>
    <w:link w:val="Style_62_ch"/>
    <w:rPr>
      <w:b w:val="1"/>
      <w:smallCaps w:val="1"/>
      <w:color w:val="C0504D"/>
      <w:spacing w:val="5"/>
      <w:u w:val="single"/>
    </w:rPr>
  </w:style>
  <w:style w:styleId="Style_62_ch" w:type="character">
    <w:name w:val="Сильная ссылка1"/>
    <w:link w:val="Style_62"/>
    <w:rPr>
      <w:b w:val="1"/>
      <w:smallCaps w:val="1"/>
      <w:color w:val="C0504D"/>
      <w:spacing w:val="5"/>
      <w:u w:val="single"/>
    </w:rPr>
  </w:style>
  <w:style w:styleId="Style_63" w:type="paragraph">
    <w:name w:val="НЗФ_Заголовок 1."/>
    <w:next w:val="Style_4"/>
    <w:link w:val="Style_63_ch"/>
    <w:pPr>
      <w:numPr>
        <w:numId w:val="1"/>
      </w:numPr>
      <w:spacing w:after="200" w:before="200"/>
      <w:ind/>
      <w:outlineLvl w:val="0"/>
    </w:pPr>
    <w:rPr>
      <w:rFonts w:ascii="Times New Roman" w:hAnsi="Times New Roman"/>
      <w:b w:val="1"/>
      <w:caps w:val="1"/>
      <w:sz w:val="28"/>
    </w:rPr>
  </w:style>
  <w:style w:styleId="Style_63_ch" w:type="character">
    <w:name w:val="НЗФ_Заголовок 1."/>
    <w:link w:val="Style_63"/>
    <w:rPr>
      <w:rFonts w:ascii="Times New Roman" w:hAnsi="Times New Roman"/>
      <w:b w:val="1"/>
      <w:caps w:val="1"/>
      <w:sz w:val="28"/>
    </w:rPr>
  </w:style>
  <w:style w:styleId="Style_64" w:type="paragraph">
    <w:name w:val="toc 9"/>
    <w:next w:val="Style_4"/>
    <w:link w:val="Style_64_ch"/>
    <w:uiPriority w:val="39"/>
    <w:pPr>
      <w:ind w:firstLine="0" w:left="1600"/>
    </w:pPr>
    <w:rPr>
      <w:rFonts w:ascii="XO Thames" w:hAnsi="XO Thames"/>
      <w:sz w:val="28"/>
    </w:rPr>
  </w:style>
  <w:style w:styleId="Style_64_ch" w:type="character">
    <w:name w:val="toc 9"/>
    <w:link w:val="Style_64"/>
    <w:rPr>
      <w:rFonts w:ascii="XO Thames" w:hAnsi="XO Thames"/>
      <w:sz w:val="28"/>
    </w:rPr>
  </w:style>
  <w:style w:styleId="Style_65" w:type="paragraph">
    <w:name w:val="НЗФ_Заголовок 1.1.1"/>
    <w:next w:val="Style_4"/>
    <w:link w:val="Style_65_ch"/>
    <w:pPr>
      <w:keepNext w:val="1"/>
      <w:keepLines w:val="1"/>
      <w:numPr>
        <w:ilvl w:val="2"/>
        <w:numId w:val="1"/>
      </w:numPr>
      <w:spacing w:after="200" w:before="200"/>
      <w:ind/>
      <w:outlineLvl w:val="2"/>
    </w:pPr>
    <w:rPr>
      <w:rFonts w:ascii="Times New Roman" w:hAnsi="Times New Roman"/>
      <w:b w:val="1"/>
      <w:sz w:val="24"/>
    </w:rPr>
  </w:style>
  <w:style w:styleId="Style_65_ch" w:type="character">
    <w:name w:val="НЗФ_Заголовок 1.1.1"/>
    <w:link w:val="Style_65"/>
    <w:rPr>
      <w:rFonts w:ascii="Times New Roman" w:hAnsi="Times New Roman"/>
      <w:b w:val="1"/>
      <w:sz w:val="24"/>
    </w:rPr>
  </w:style>
  <w:style w:styleId="Style_66" w:type="paragraph">
    <w:name w:val="Абзац списка2"/>
    <w:basedOn w:val="Style_4"/>
    <w:link w:val="Style_66_ch"/>
    <w:pPr>
      <w:widowControl w:val="0"/>
      <w:spacing w:after="0" w:before="4" w:line="240" w:lineRule="auto"/>
      <w:ind w:firstLine="708" w:left="102"/>
      <w:jc w:val="both"/>
    </w:pPr>
    <w:rPr>
      <w:rFonts w:ascii="Times New Roman" w:hAnsi="Times New Roman"/>
    </w:rPr>
  </w:style>
  <w:style w:styleId="Style_66_ch" w:type="character">
    <w:name w:val="Абзац списка2"/>
    <w:basedOn w:val="Style_4_ch"/>
    <w:link w:val="Style_66"/>
    <w:rPr>
      <w:rFonts w:ascii="Times New Roman" w:hAnsi="Times New Roman"/>
    </w:rPr>
  </w:style>
  <w:style w:styleId="Style_67" w:type="paragraph">
    <w:name w:val="Обычный1"/>
    <w:link w:val="Style_67_ch"/>
    <w:rPr>
      <w:sz w:val="22"/>
    </w:rPr>
  </w:style>
  <w:style w:styleId="Style_67_ch" w:type="character">
    <w:name w:val="Обычный1"/>
    <w:link w:val="Style_67"/>
    <w:rPr>
      <w:sz w:val="22"/>
    </w:rPr>
  </w:style>
  <w:style w:styleId="Style_68" w:type="paragraph">
    <w:name w:val="ОГП_Штамп"/>
    <w:basedOn w:val="Style_4"/>
    <w:link w:val="Style_68_ch"/>
    <w:pPr>
      <w:spacing w:after="0" w:line="240" w:lineRule="auto"/>
      <w:ind/>
      <w:jc w:val="center"/>
    </w:pPr>
    <w:rPr>
      <w:rFonts w:ascii="Times New Roman" w:hAnsi="Times New Roman"/>
      <w:sz w:val="20"/>
    </w:rPr>
  </w:style>
  <w:style w:styleId="Style_68_ch" w:type="character">
    <w:name w:val="ОГП_Штамп"/>
    <w:basedOn w:val="Style_4_ch"/>
    <w:link w:val="Style_68"/>
    <w:rPr>
      <w:rFonts w:ascii="Times New Roman" w:hAnsi="Times New Roman"/>
      <w:sz w:val="20"/>
    </w:rPr>
  </w:style>
  <w:style w:styleId="Style_69" w:type="paragraph">
    <w:name w:val="toc 8"/>
    <w:next w:val="Style_4"/>
    <w:link w:val="Style_69_ch"/>
    <w:uiPriority w:val="39"/>
    <w:pPr>
      <w:ind w:firstLine="0" w:left="1400"/>
    </w:pPr>
    <w:rPr>
      <w:rFonts w:ascii="XO Thames" w:hAnsi="XO Thames"/>
      <w:sz w:val="28"/>
    </w:rPr>
  </w:style>
  <w:style w:styleId="Style_69_ch" w:type="character">
    <w:name w:val="toc 8"/>
    <w:link w:val="Style_69"/>
    <w:rPr>
      <w:rFonts w:ascii="XO Thames" w:hAnsi="XO Thames"/>
      <w:sz w:val="28"/>
    </w:rPr>
  </w:style>
  <w:style w:styleId="Style_70" w:type="paragraph">
    <w:name w:val="annotation subject"/>
    <w:basedOn w:val="Style_71"/>
    <w:next w:val="Style_71"/>
    <w:link w:val="Style_70_ch"/>
    <w:rPr>
      <w:b w:val="1"/>
    </w:rPr>
  </w:style>
  <w:style w:styleId="Style_70_ch" w:type="character">
    <w:name w:val="annotation subject"/>
    <w:basedOn w:val="Style_71_ch"/>
    <w:link w:val="Style_70"/>
    <w:rPr>
      <w:b w:val="1"/>
    </w:rPr>
  </w:style>
  <w:style w:styleId="Style_72" w:type="paragraph">
    <w:name w:val="Сильное выделение1"/>
    <w:link w:val="Style_72_ch"/>
    <w:rPr>
      <w:b w:val="1"/>
      <w:i w:val="1"/>
      <w:color w:val="4F81BD"/>
    </w:rPr>
  </w:style>
  <w:style w:styleId="Style_72_ch" w:type="character">
    <w:name w:val="Сильное выделение1"/>
    <w:link w:val="Style_72"/>
    <w:rPr>
      <w:b w:val="1"/>
      <w:i w:val="1"/>
      <w:color w:val="4F81BD"/>
    </w:rPr>
  </w:style>
  <w:style w:styleId="Style_73" w:type="paragraph">
    <w:name w:val="c0"/>
    <w:basedOn w:val="Style_4"/>
    <w:link w:val="Style_7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73_ch" w:type="character">
    <w:name w:val="c0"/>
    <w:basedOn w:val="Style_4_ch"/>
    <w:link w:val="Style_73"/>
    <w:rPr>
      <w:rFonts w:ascii="Times New Roman" w:hAnsi="Times New Roman"/>
      <w:sz w:val="24"/>
    </w:rPr>
  </w:style>
  <w:style w:styleId="Style_74" w:type="paragraph">
    <w:name w:val="toc 5"/>
    <w:next w:val="Style_4"/>
    <w:link w:val="Style_74_ch"/>
    <w:uiPriority w:val="39"/>
    <w:pPr>
      <w:ind w:firstLine="0" w:left="800"/>
    </w:pPr>
    <w:rPr>
      <w:rFonts w:ascii="XO Thames" w:hAnsi="XO Thames"/>
      <w:sz w:val="28"/>
    </w:rPr>
  </w:style>
  <w:style w:styleId="Style_74_ch" w:type="character">
    <w:name w:val="toc 5"/>
    <w:link w:val="Style_74"/>
    <w:rPr>
      <w:rFonts w:ascii="XO Thames" w:hAnsi="XO Thames"/>
      <w:sz w:val="28"/>
    </w:rPr>
  </w:style>
  <w:style w:styleId="Style_75" w:type="paragraph">
    <w:name w:val="apple-style-span"/>
    <w:basedOn w:val="Style_29"/>
    <w:link w:val="Style_75_ch"/>
  </w:style>
  <w:style w:styleId="Style_75_ch" w:type="character">
    <w:name w:val="apple-style-span"/>
    <w:basedOn w:val="Style_29_ch"/>
    <w:link w:val="Style_75"/>
  </w:style>
  <w:style w:styleId="Style_76" w:type="paragraph">
    <w:name w:val="Нормальный (таблица)"/>
    <w:basedOn w:val="Style_4"/>
    <w:next w:val="Style_4"/>
    <w:link w:val="Style_76_ch"/>
    <w:pPr>
      <w:widowControl w:val="0"/>
      <w:spacing w:after="0" w:line="240" w:lineRule="auto"/>
      <w:ind/>
      <w:jc w:val="both"/>
    </w:pPr>
    <w:rPr>
      <w:rFonts w:ascii="Arial" w:hAnsi="Arial"/>
      <w:sz w:val="24"/>
    </w:rPr>
  </w:style>
  <w:style w:styleId="Style_76_ch" w:type="character">
    <w:name w:val="Нормальный (таблица)"/>
    <w:basedOn w:val="Style_4_ch"/>
    <w:link w:val="Style_76"/>
    <w:rPr>
      <w:rFonts w:ascii="Arial" w:hAnsi="Arial"/>
      <w:sz w:val="24"/>
    </w:rPr>
  </w:style>
  <w:style w:styleId="Style_17" w:type="paragraph">
    <w:name w:val="НЗФ_Текст"/>
    <w:link w:val="Style_17_ch"/>
    <w:pPr>
      <w:spacing w:line="276" w:lineRule="auto"/>
      <w:ind w:firstLine="706" w:left="0"/>
      <w:jc w:val="both"/>
    </w:pPr>
    <w:rPr>
      <w:rFonts w:ascii="Times New Roman" w:hAnsi="Times New Roman"/>
      <w:sz w:val="24"/>
    </w:rPr>
  </w:style>
  <w:style w:styleId="Style_17_ch" w:type="character">
    <w:name w:val="НЗФ_Текст"/>
    <w:link w:val="Style_17"/>
    <w:rPr>
      <w:rFonts w:ascii="Times New Roman" w:hAnsi="Times New Roman"/>
      <w:sz w:val="24"/>
    </w:rPr>
  </w:style>
  <w:style w:styleId="Style_77" w:type="paragraph">
    <w:name w:val="НЗФ_Формула"/>
    <w:basedOn w:val="Style_17"/>
    <w:link w:val="Style_77_ch"/>
  </w:style>
  <w:style w:styleId="Style_77_ch" w:type="character">
    <w:name w:val="НЗФ_Формула"/>
    <w:basedOn w:val="Style_17_ch"/>
    <w:link w:val="Style_77"/>
  </w:style>
  <w:style w:styleId="Style_29" w:type="paragraph">
    <w:name w:val="Основной шрифт абзаца1"/>
    <w:link w:val="Style_29_ch"/>
  </w:style>
  <w:style w:styleId="Style_29_ch" w:type="character">
    <w:name w:val="Основной шрифт абзаца1"/>
    <w:link w:val="Style_29"/>
  </w:style>
  <w:style w:styleId="Style_78" w:type="paragraph">
    <w:name w:val="ConsPlusNormal"/>
    <w:link w:val="Style_78_ch"/>
    <w:pPr>
      <w:widowControl w:val="0"/>
      <w:ind/>
    </w:pPr>
    <w:rPr>
      <w:sz w:val="22"/>
    </w:rPr>
  </w:style>
  <w:style w:styleId="Style_78_ch" w:type="character">
    <w:name w:val="ConsPlusNormal"/>
    <w:link w:val="Style_78"/>
    <w:rPr>
      <w:sz w:val="22"/>
    </w:rPr>
  </w:style>
  <w:style w:styleId="Style_79" w:type="paragraph">
    <w:name w:val="НЗФ_Неутвержденный абзац"/>
    <w:basedOn w:val="Style_7"/>
    <w:link w:val="Style_79_ch"/>
    <w:pPr>
      <w:spacing w:after="0"/>
      <w:ind w:firstLine="706" w:left="0"/>
      <w:jc w:val="both"/>
    </w:pPr>
    <w:rPr>
      <w:rFonts w:ascii="Times New Roman" w:hAnsi="Times New Roman"/>
      <w:color w:val="365F91"/>
      <w:sz w:val="24"/>
    </w:rPr>
  </w:style>
  <w:style w:styleId="Style_79_ch" w:type="character">
    <w:name w:val="НЗФ_Неутвержденный абзац"/>
    <w:basedOn w:val="Style_7_ch"/>
    <w:link w:val="Style_79"/>
    <w:rPr>
      <w:rFonts w:ascii="Times New Roman" w:hAnsi="Times New Roman"/>
      <w:color w:val="365F91"/>
      <w:sz w:val="24"/>
    </w:rPr>
  </w:style>
  <w:style w:styleId="Style_80" w:type="paragraph">
    <w:name w:val="western"/>
    <w:basedOn w:val="Style_4"/>
    <w:link w:val="Style_80_ch"/>
    <w:pPr>
      <w:spacing w:after="119" w:beforeAutospacing="on" w:line="240" w:lineRule="auto"/>
      <w:ind/>
    </w:pPr>
    <w:rPr>
      <w:rFonts w:ascii="Times New Roman" w:hAnsi="Times New Roman"/>
      <w:sz w:val="24"/>
    </w:rPr>
  </w:style>
  <w:style w:styleId="Style_80_ch" w:type="character">
    <w:name w:val="western"/>
    <w:basedOn w:val="Style_4_ch"/>
    <w:link w:val="Style_80"/>
    <w:rPr>
      <w:rFonts w:ascii="Times New Roman" w:hAnsi="Times New Roman"/>
      <w:sz w:val="24"/>
    </w:rPr>
  </w:style>
  <w:style w:styleId="Style_2" w:type="paragraph">
    <w:name w:val="ConsPlusTitle"/>
    <w:link w:val="Style_2_ch"/>
    <w:pPr>
      <w:widowControl w:val="0"/>
      <w:ind/>
    </w:pPr>
    <w:rPr>
      <w:rFonts w:ascii="Arial" w:hAnsi="Arial"/>
      <w:b w:val="1"/>
      <w:sz w:val="22"/>
    </w:rPr>
  </w:style>
  <w:style w:styleId="Style_2_ch" w:type="character">
    <w:name w:val="ConsPlusTitle"/>
    <w:link w:val="Style_2"/>
    <w:rPr>
      <w:rFonts w:ascii="Arial" w:hAnsi="Arial"/>
      <w:b w:val="1"/>
      <w:sz w:val="22"/>
    </w:rPr>
  </w:style>
  <w:style w:styleId="Style_81" w:type="paragraph">
    <w:name w:val="Знак Знак Знак Знак Знак Знак Знак Знак Знак Знак"/>
    <w:basedOn w:val="Style_4"/>
    <w:link w:val="Style_81_ch"/>
    <w:pPr>
      <w:spacing w:after="0" w:line="240" w:lineRule="exact"/>
      <w:ind/>
      <w:jc w:val="both"/>
    </w:pPr>
    <w:rPr>
      <w:rFonts w:ascii="Times New Roman" w:hAnsi="Times New Roman"/>
      <w:sz w:val="24"/>
    </w:rPr>
  </w:style>
  <w:style w:styleId="Style_81_ch" w:type="character">
    <w:name w:val="Знак Знак Знак Знак Знак Знак Знак Знак Знак Знак"/>
    <w:basedOn w:val="Style_4_ch"/>
    <w:link w:val="Style_81"/>
    <w:rPr>
      <w:rFonts w:ascii="Times New Roman" w:hAnsi="Times New Roman"/>
      <w:sz w:val="24"/>
    </w:rPr>
  </w:style>
  <w:style w:styleId="Style_82" w:type="paragraph">
    <w:name w:val="Subtitle"/>
    <w:basedOn w:val="Style_4"/>
    <w:next w:val="Style_4"/>
    <w:link w:val="Style_82_ch"/>
    <w:uiPriority w:val="11"/>
    <w:qFormat/>
    <w:pPr>
      <w:numPr>
        <w:ilvl w:val="1"/>
      </w:numPr>
    </w:pPr>
    <w:rPr>
      <w:rFonts w:ascii="Cambria" w:hAnsi="Cambria"/>
      <w:i w:val="1"/>
      <w:color w:val="4F81BD"/>
      <w:spacing w:val="15"/>
      <w:sz w:val="24"/>
    </w:rPr>
  </w:style>
  <w:style w:styleId="Style_82_ch" w:type="character">
    <w:name w:val="Subtitle"/>
    <w:basedOn w:val="Style_4_ch"/>
    <w:link w:val="Style_82"/>
    <w:rPr>
      <w:rFonts w:ascii="Cambria" w:hAnsi="Cambria"/>
      <w:i w:val="1"/>
      <w:color w:val="4F81BD"/>
      <w:spacing w:val="15"/>
      <w:sz w:val="24"/>
    </w:rPr>
  </w:style>
  <w:style w:styleId="Style_83" w:type="paragraph">
    <w:name w:val="Знак Знак Знак Знак Знак Знак Знак Знак Знак Знак1"/>
    <w:basedOn w:val="Style_4"/>
    <w:link w:val="Style_83_ch"/>
    <w:pPr>
      <w:spacing w:after="0" w:line="240" w:lineRule="exact"/>
      <w:ind/>
      <w:jc w:val="both"/>
    </w:pPr>
    <w:rPr>
      <w:rFonts w:ascii="Times New Roman" w:hAnsi="Times New Roman"/>
      <w:sz w:val="24"/>
    </w:rPr>
  </w:style>
  <w:style w:styleId="Style_83_ch" w:type="character">
    <w:name w:val="Знак Знак Знак Знак Знак Знак Знак Знак Знак Знак1"/>
    <w:basedOn w:val="Style_4_ch"/>
    <w:link w:val="Style_83"/>
    <w:rPr>
      <w:rFonts w:ascii="Times New Roman" w:hAnsi="Times New Roman"/>
      <w:sz w:val="24"/>
    </w:rPr>
  </w:style>
  <w:style w:styleId="Style_84" w:type="paragraph">
    <w:name w:val="caption"/>
    <w:basedOn w:val="Style_4"/>
    <w:next w:val="Style_4"/>
    <w:link w:val="Style_84_ch"/>
    <w:pPr>
      <w:spacing w:line="240" w:lineRule="auto"/>
      <w:ind/>
    </w:pPr>
    <w:rPr>
      <w:b w:val="1"/>
      <w:color w:val="4F81BD"/>
      <w:sz w:val="18"/>
    </w:rPr>
  </w:style>
  <w:style w:styleId="Style_84_ch" w:type="character">
    <w:name w:val="caption"/>
    <w:basedOn w:val="Style_4_ch"/>
    <w:link w:val="Style_84"/>
    <w:rPr>
      <w:b w:val="1"/>
      <w:color w:val="4F81BD"/>
      <w:sz w:val="18"/>
    </w:rPr>
  </w:style>
  <w:style w:styleId="Style_85" w:type="paragraph">
    <w:name w:val="Title"/>
    <w:next w:val="Style_4"/>
    <w:link w:val="Style_8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85_ch" w:type="character">
    <w:name w:val="Title"/>
    <w:link w:val="Style_85"/>
    <w:rPr>
      <w:rFonts w:ascii="XO Thames" w:hAnsi="XO Thames"/>
      <w:b w:val="1"/>
      <w:caps w:val="1"/>
      <w:sz w:val="40"/>
    </w:rPr>
  </w:style>
  <w:style w:styleId="Style_86" w:type="paragraph">
    <w:name w:val="heading 4"/>
    <w:basedOn w:val="Style_4"/>
    <w:next w:val="Style_4"/>
    <w:link w:val="Style_86_ch"/>
    <w:uiPriority w:val="9"/>
    <w:qFormat/>
    <w:pPr>
      <w:keepNext w:val="1"/>
      <w:keepLines w:val="1"/>
      <w:spacing w:after="0" w:before="200"/>
      <w:ind/>
      <w:outlineLvl w:val="3"/>
    </w:pPr>
    <w:rPr>
      <w:rFonts w:ascii="Cambria" w:hAnsi="Cambria"/>
      <w:b w:val="1"/>
      <w:i w:val="1"/>
      <w:color w:val="4F81BD"/>
    </w:rPr>
  </w:style>
  <w:style w:styleId="Style_86_ch" w:type="character">
    <w:name w:val="heading 4"/>
    <w:basedOn w:val="Style_4_ch"/>
    <w:link w:val="Style_86"/>
    <w:rPr>
      <w:rFonts w:ascii="Cambria" w:hAnsi="Cambria"/>
      <w:b w:val="1"/>
      <w:i w:val="1"/>
      <w:color w:val="4F81BD"/>
    </w:rPr>
  </w:style>
  <w:style w:styleId="Style_71" w:type="paragraph">
    <w:name w:val="annotation text"/>
    <w:basedOn w:val="Style_4"/>
    <w:link w:val="Style_71_ch"/>
    <w:pPr>
      <w:spacing w:line="240" w:lineRule="auto"/>
      <w:ind/>
    </w:pPr>
    <w:rPr>
      <w:sz w:val="20"/>
    </w:rPr>
  </w:style>
  <w:style w:styleId="Style_71_ch" w:type="character">
    <w:name w:val="annotation text"/>
    <w:basedOn w:val="Style_4_ch"/>
    <w:link w:val="Style_71"/>
    <w:rPr>
      <w:sz w:val="20"/>
    </w:rPr>
  </w:style>
  <w:style w:styleId="Style_87" w:type="paragraph">
    <w:name w:val="No Spacing"/>
    <w:link w:val="Style_87_ch"/>
    <w:rPr>
      <w:sz w:val="22"/>
    </w:rPr>
  </w:style>
  <w:style w:styleId="Style_87_ch" w:type="character">
    <w:name w:val="No Spacing"/>
    <w:link w:val="Style_87"/>
    <w:rPr>
      <w:sz w:val="22"/>
    </w:rPr>
  </w:style>
  <w:style w:styleId="Style_88" w:type="paragraph">
    <w:name w:val="НЗФ_Заголовок_Состав"/>
    <w:next w:val="Style_4"/>
    <w:link w:val="Style_88_ch"/>
    <w:pPr>
      <w:spacing w:after="100" w:before="100"/>
      <w:ind/>
      <w:jc w:val="center"/>
      <w:outlineLvl w:val="0"/>
    </w:pPr>
    <w:rPr>
      <w:rFonts w:ascii="Times New Roman" w:hAnsi="Times New Roman"/>
      <w:b w:val="1"/>
      <w:caps w:val="1"/>
      <w:sz w:val="26"/>
    </w:rPr>
  </w:style>
  <w:style w:styleId="Style_88_ch" w:type="character">
    <w:name w:val="НЗФ_Заголовок_Состав"/>
    <w:link w:val="Style_88"/>
    <w:rPr>
      <w:rFonts w:ascii="Times New Roman" w:hAnsi="Times New Roman"/>
      <w:b w:val="1"/>
      <w:caps w:val="1"/>
      <w:sz w:val="26"/>
    </w:rPr>
  </w:style>
  <w:style w:styleId="Style_89" w:type="paragraph">
    <w:name w:val="Основной текст 21"/>
    <w:basedOn w:val="Style_4"/>
    <w:link w:val="Style_89_ch"/>
    <w:pPr>
      <w:spacing w:after="0" w:line="360" w:lineRule="auto"/>
      <w:ind w:firstLine="720" w:left="0"/>
      <w:jc w:val="both"/>
    </w:pPr>
    <w:rPr>
      <w:rFonts w:ascii="Arial" w:hAnsi="Arial"/>
      <w:sz w:val="24"/>
    </w:rPr>
  </w:style>
  <w:style w:styleId="Style_89_ch" w:type="character">
    <w:name w:val="Основной текст 21"/>
    <w:basedOn w:val="Style_4_ch"/>
    <w:link w:val="Style_89"/>
    <w:rPr>
      <w:rFonts w:ascii="Arial" w:hAnsi="Arial"/>
      <w:sz w:val="24"/>
    </w:rPr>
  </w:style>
  <w:style w:styleId="Style_90" w:type="paragraph">
    <w:name w:val="Body Text"/>
    <w:basedOn w:val="Style_4"/>
    <w:link w:val="Style_90_ch"/>
    <w:pPr>
      <w:widowControl w:val="0"/>
      <w:spacing w:after="0" w:before="120" w:line="240" w:lineRule="auto"/>
      <w:ind w:firstLine="566" w:left="232"/>
    </w:pPr>
    <w:rPr>
      <w:rFonts w:ascii="Times New Roman" w:hAnsi="Times New Roman"/>
      <w:sz w:val="24"/>
    </w:rPr>
  </w:style>
  <w:style w:styleId="Style_90_ch" w:type="character">
    <w:name w:val="Body Text"/>
    <w:basedOn w:val="Style_4_ch"/>
    <w:link w:val="Style_90"/>
    <w:rPr>
      <w:rFonts w:ascii="Times New Roman" w:hAnsi="Times New Roman"/>
      <w:sz w:val="24"/>
    </w:rPr>
  </w:style>
  <w:style w:styleId="Style_91" w:type="paragraph">
    <w:name w:val="heading 2"/>
    <w:basedOn w:val="Style_4"/>
    <w:next w:val="Style_4"/>
    <w:link w:val="Style_91_ch"/>
    <w:uiPriority w:val="9"/>
    <w:qFormat/>
    <w:pPr>
      <w:keepNext w:val="1"/>
      <w:keepLines w:val="1"/>
      <w:spacing w:after="0" w:before="200"/>
      <w:ind/>
      <w:outlineLvl w:val="1"/>
    </w:pPr>
    <w:rPr>
      <w:rFonts w:ascii="Cambria" w:hAnsi="Cambria"/>
      <w:b w:val="1"/>
      <w:color w:val="4F81BD"/>
      <w:sz w:val="26"/>
    </w:rPr>
  </w:style>
  <w:style w:styleId="Style_91_ch" w:type="character">
    <w:name w:val="heading 2"/>
    <w:basedOn w:val="Style_4_ch"/>
    <w:link w:val="Style_91"/>
    <w:rPr>
      <w:rFonts w:ascii="Cambria" w:hAnsi="Cambria"/>
      <w:b w:val="1"/>
      <w:color w:val="4F81BD"/>
      <w:sz w:val="26"/>
    </w:rPr>
  </w:style>
  <w:style w:styleId="Style_92" w:type="paragraph">
    <w:name w:val="TOC Heading"/>
    <w:basedOn w:val="Style_47"/>
    <w:next w:val="Style_4"/>
    <w:link w:val="Style_92_ch"/>
    <w:pPr>
      <w:ind/>
      <w:outlineLvl w:val="8"/>
    </w:pPr>
  </w:style>
  <w:style w:styleId="Style_92_ch" w:type="character">
    <w:name w:val="TOC Heading"/>
    <w:basedOn w:val="Style_47_ch"/>
    <w:link w:val="Style_92"/>
  </w:style>
  <w:style w:styleId="Style_93" w:type="paragraph">
    <w:name w:val="header"/>
    <w:basedOn w:val="Style_4"/>
    <w:link w:val="Style_9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93_ch" w:type="character">
    <w:name w:val="header"/>
    <w:basedOn w:val="Style_4_ch"/>
    <w:link w:val="Style_93"/>
  </w:style>
  <w:style w:styleId="Style_94" w:type="paragraph">
    <w:name w:val="List Bullet 3"/>
    <w:basedOn w:val="Style_4"/>
    <w:link w:val="Style_94_ch"/>
    <w:pPr>
      <w:numPr>
        <w:numId w:val="6"/>
      </w:numPr>
      <w:ind/>
      <w:contextualSpacing w:val="1"/>
    </w:pPr>
  </w:style>
  <w:style w:styleId="Style_94_ch" w:type="character">
    <w:name w:val="List Bullet 3"/>
    <w:basedOn w:val="Style_4_ch"/>
    <w:link w:val="Style_94"/>
  </w:style>
  <w:style w:styleId="Style_95" w:type="paragraph">
    <w:name w:val="heading 6"/>
    <w:basedOn w:val="Style_4"/>
    <w:next w:val="Style_4"/>
    <w:link w:val="Style_95_ch"/>
    <w:uiPriority w:val="9"/>
    <w:qFormat/>
    <w:pPr>
      <w:keepNext w:val="1"/>
      <w:keepLines w:val="1"/>
      <w:spacing w:after="0" w:before="200"/>
      <w:ind/>
      <w:outlineLvl w:val="5"/>
    </w:pPr>
    <w:rPr>
      <w:rFonts w:ascii="Cambria" w:hAnsi="Cambria"/>
      <w:i w:val="1"/>
      <w:color w:val="243F60"/>
    </w:rPr>
  </w:style>
  <w:style w:styleId="Style_95_ch" w:type="character">
    <w:name w:val="heading 6"/>
    <w:basedOn w:val="Style_4_ch"/>
    <w:link w:val="Style_95"/>
    <w:rPr>
      <w:rFonts w:ascii="Cambria" w:hAnsi="Cambria"/>
      <w:i w:val="1"/>
      <w:color w:val="243F60"/>
    </w:rPr>
  </w:style>
  <w:style w:styleId="Style_96" w:type="table">
    <w:name w:val="Table Normal2"/>
    <w:pPr>
      <w:widowControl w:val="0"/>
      <w:ind/>
    </w:pPr>
    <w:rPr>
      <w:sz w:val="22"/>
    </w:r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97" w:type="table">
    <w:name w:val="Table Normal1"/>
    <w:pPr>
      <w:widowControl w:val="0"/>
      <w:ind/>
    </w:pPr>
    <w:rPr>
      <w:sz w:val="22"/>
    </w:r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98" w:type="table">
    <w:name w:val="Сетка таблицы11"/>
    <w:basedOn w:val="Style_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9" w:type="table">
    <w:name w:val="Сетка таблицы1"/>
    <w:basedOn w:val="Style_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0" w:type="table">
    <w:name w:val="Сетка таблицы3"/>
    <w:basedOn w:val="Style_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1" w:type="table">
    <w:name w:val="Сетка таблицы2"/>
    <w:basedOn w:val="Style_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02" w:type="table">
    <w:name w:val="Table Grid"/>
    <w:basedOn w:val="Style_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3" w:type="table">
    <w:name w:val="Сетка таблицы4"/>
    <w:basedOn w:val="Style_3"/>
    <w:rPr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4" w:type="table">
    <w:name w:val="Table Normal"/>
    <w:pPr>
      <w:widowControl w:val="0"/>
      <w:ind/>
    </w:pPr>
    <w:rPr>
      <w:sz w:val="22"/>
    </w:r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WithEffects.xml" Type="http://schemas.microsoft.com/office/2007/relationships/stylesWithEffects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5" Target="theme/theme1.xml" Type="http://schemas.openxmlformats.org/officeDocument/2006/relationships/theme"/>
  <Relationship Id="rId9" Target="media/3.jpeg" Type="http://schemas.openxmlformats.org/officeDocument/2006/relationships/image"/>
  <Relationship Id="rId8" Target="media/2.jpeg" Type="http://schemas.openxmlformats.org/officeDocument/2006/relationships/image"/>
  <Relationship Id="rId7" Target="media/1.jpeg" Type="http://schemas.openxmlformats.org/officeDocument/2006/relationships/image"/>
  <Relationship Id="rId14" Target="webSettings.xml" Type="http://schemas.openxmlformats.org/officeDocument/2006/relationships/webSettings"/>
  <Relationship Id="rId6" Target="footer6.xml" Type="http://schemas.openxmlformats.org/officeDocument/2006/relationships/footer"/>
  <Relationship Id="rId5" Target="footer5.xml" Type="http://schemas.openxmlformats.org/officeDocument/2006/relationships/footer"/>
  <Relationship Id="rId16" Target="numbering.xml" Type="http://schemas.openxmlformats.org/officeDocument/2006/relationships/numbering"/>
  <Relationship Id="rId4" Target="footer4.xml" Type="http://schemas.openxmlformats.org/officeDocument/2006/relationships/footer"/>
  <Relationship Id="rId12" Target="styles.xml" Type="http://schemas.openxmlformats.org/officeDocument/2006/relationships/styles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MyOffice-CoreFramework-Windows/29-1028.734.7326.662.0@DESKTOP-CASSIOPEIA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2024-03-29T05:19:20Z</dcterms:modified>
</cp:coreProperties>
</file>