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09</w:t>
      </w:r>
      <w:r>
        <w:t xml:space="preserve"> </w:t>
      </w:r>
      <w:r>
        <w:t>января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01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Генерального плана </w:t>
      </w:r>
    </w:p>
    <w:p w14:paraId="0B000000">
      <w:pPr>
        <w:rPr>
          <w:sz w:val="28"/>
        </w:rPr>
      </w:pPr>
      <w:r>
        <w:rPr>
          <w:sz w:val="28"/>
        </w:rPr>
        <w:t>Еремеев</w:t>
      </w:r>
      <w:r>
        <w:rPr>
          <w:sz w:val="28"/>
        </w:rPr>
        <w:t xml:space="preserve">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Генерального плана Еремеевского сельского поселения Полтавского муниципального района Омской области  с 15 января 2024 года по 02 февраля 2024 года включительно.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12.01.2024 года разместить оповещение о начале общественных обсуждений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15.01.2024 г. по 02.02.2024 г. включительно.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 xml:space="preserve">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  <w:sz w:val="28"/>
    </w:rPr>
  </w:style>
  <w:style w:styleId="Style_11_ch" w:type="character">
    <w:name w:val="ConsNonformat"/>
    <w:link w:val="Style_11"/>
    <w:rPr>
      <w:rFonts w:ascii="Courier New" w:hAnsi="Courier New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13" w:type="paragraph">
    <w:name w:val="Con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6"/>
    <w:next w:val="Style_6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6_ch"/>
    <w:link w:val="Style_18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2024-01-09T03:58:05Z</dcterms:modified>
</cp:coreProperties>
</file>