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2D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Руководство по соблюдению обязательных требований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земельного законодательства, предъявляемых при проведении мероприятий по осуществлению муниципального земельного 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контроля на </w:t>
      </w:r>
      <w:r w:rsidR="00324195" w:rsidRPr="003241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территориях сельских поселений Полтавского муниципального района Омской области</w:t>
      </w:r>
    </w:p>
    <w:p w:rsidR="003D5EC6" w:rsidRDefault="003D5EC6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443C" w:rsidRDefault="00C454FC" w:rsidP="00C454F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C4672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положениями</w:t>
      </w:r>
      <w:r w:rsidR="00B544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443C">
        <w:rPr>
          <w:rFonts w:ascii="Times New Roman" w:eastAsiaTheme="minorHAnsi" w:hAnsi="Times New Roman"/>
          <w:sz w:val="28"/>
          <w:szCs w:val="28"/>
        </w:rPr>
        <w:t>Федерального закона от 31.07.2020 N 248-ФЗ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5443C">
        <w:rPr>
          <w:rFonts w:ascii="Times New Roman" w:eastAsiaTheme="minorHAnsi" w:hAnsi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C4672D" w:rsidRDefault="00C4672D" w:rsidP="00C4672D">
      <w:pPr>
        <w:spacing w:after="20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</w:t>
      </w:r>
      <w:r w:rsidR="003241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июля 2015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 218-ФЗ «О государственной регистрации недвижимости».</w:t>
      </w: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Обязанности правообладателей земельных участков</w:t>
      </w:r>
    </w:p>
    <w:p w:rsidR="00C4672D" w:rsidRDefault="00C4672D" w:rsidP="00C4672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своевременно производить платежи за землю;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выполнять иные требования, предусмотренные Земельным кодексом, федеральными законами.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Возникновение прав на земельный участок</w:t>
      </w:r>
    </w:p>
    <w:p w:rsidR="00C4672D" w:rsidRDefault="00C4672D" w:rsidP="00C4672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C4672D" w:rsidRP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перехода права собственности на здание, сооружение к нескольким собственникам порядок пользования земельным участком </w:t>
      </w:r>
      <w:r w:rsidRPr="00C4672D">
        <w:rPr>
          <w:rFonts w:ascii="Times New Roman" w:hAnsi="Times New Roman"/>
          <w:sz w:val="28"/>
          <w:szCs w:val="28"/>
          <w:lang w:eastAsia="ru-RU"/>
        </w:rPr>
        <w:t>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C4672D" w:rsidRP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672D">
        <w:rPr>
          <w:rFonts w:ascii="Times New Roman" w:hAnsi="Times New Roman"/>
          <w:sz w:val="28"/>
          <w:szCs w:val="28"/>
          <w:lang w:eastAsia="ru-RU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5" w:history="1">
        <w:r w:rsidRPr="00C467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C4672D">
        <w:rPr>
          <w:rFonts w:ascii="Times New Roman" w:hAnsi="Times New Roman"/>
          <w:sz w:val="28"/>
          <w:szCs w:val="28"/>
          <w:lang w:eastAsia="ru-RU"/>
        </w:rPr>
        <w:t xml:space="preserve"> для случаев продажи доли в праве общей собственности постороннему лицу.</w:t>
      </w:r>
      <w:proofErr w:type="gramEnd"/>
    </w:p>
    <w:p w:rsidR="00C4672D" w:rsidRP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2D">
        <w:rPr>
          <w:rFonts w:ascii="Times New Roman" w:hAnsi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C4672D" w:rsidRP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2D">
        <w:rPr>
          <w:rFonts w:ascii="Times New Roman" w:hAnsi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C4672D" w:rsidRP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отчуждение здания, сооружения, </w:t>
      </w:r>
      <w:proofErr w:type="gramStart"/>
      <w:r w:rsidRPr="00C4672D">
        <w:rPr>
          <w:rFonts w:ascii="Times New Roman" w:hAnsi="Times New Roman"/>
          <w:sz w:val="28"/>
          <w:szCs w:val="28"/>
          <w:lang w:eastAsia="ru-RU"/>
        </w:rPr>
        <w:t>находящихся</w:t>
      </w:r>
      <w:proofErr w:type="gramEnd"/>
      <w:r w:rsidRPr="00C4672D">
        <w:rPr>
          <w:rFonts w:ascii="Times New Roman" w:hAnsi="Times New Roman"/>
          <w:sz w:val="28"/>
          <w:szCs w:val="28"/>
          <w:lang w:eastAsia="ru-RU"/>
        </w:rPr>
        <w:t xml:space="preserve"> на земельном участке, изъятом из оборота в соответствии со </w:t>
      </w:r>
      <w:hyperlink r:id="rId6" w:history="1">
        <w:r w:rsidRPr="00C467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C4672D">
        <w:rPr>
          <w:rFonts w:ascii="Times New Roman" w:hAnsi="Times New Roman"/>
          <w:sz w:val="28"/>
          <w:szCs w:val="28"/>
          <w:lang w:eastAsia="ru-RU"/>
        </w:rPr>
        <w:t xml:space="preserve"> Земельного кодекса;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672D">
        <w:rPr>
          <w:rFonts w:ascii="Times New Roman" w:hAnsi="Times New Roman"/>
          <w:sz w:val="28"/>
          <w:szCs w:val="28"/>
          <w:lang w:eastAsia="ru-RU"/>
        </w:rPr>
        <w:t xml:space="preserve">3) отчуждение сооружения, которое расположено на земельном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участке на условиях сервитута.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допускается отчуждение земельного участка без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нем здания, сооружения в случае, если они принадлежат одному лицу.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Переоформление прав на земельный участок</w:t>
      </w:r>
    </w:p>
    <w:p w:rsidR="00C4672D" w:rsidRDefault="00C4672D" w:rsidP="00C4672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proofErr w:type="gramEnd"/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  <w:proofErr w:type="gramEnd"/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государственную регистрацию права 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21.07.1997 г. № 122-ФЗ «О государственной регистрации прав на недвижимое имущество и сделок с ним».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Платность использования земли</w:t>
      </w:r>
    </w:p>
    <w:p w:rsidR="00C4672D" w:rsidRDefault="00C4672D" w:rsidP="00C4672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исчисления и уплаты земельного налога устанавливается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</w:t>
      </w:r>
      <w:r w:rsidR="00CF41E1">
        <w:rPr>
          <w:rFonts w:ascii="Times New Roman" w:hAnsi="Times New Roman"/>
          <w:sz w:val="28"/>
          <w:szCs w:val="28"/>
          <w:lang w:eastAsia="ru-RU"/>
        </w:rPr>
        <w:t>законом Омской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нормативными правовыми актами администрации </w:t>
      </w:r>
      <w:r w:rsidR="00CF41E1">
        <w:rPr>
          <w:rFonts w:ascii="Times New Roman" w:hAnsi="Times New Roman"/>
          <w:sz w:val="28"/>
          <w:szCs w:val="28"/>
          <w:lang w:eastAsia="ru-RU"/>
        </w:rPr>
        <w:t>Полтавского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договорами аренды земельных участков.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4D5150"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Изменение видов разрешенного использования земельных участков</w:t>
      </w:r>
      <w:r w:rsidR="003355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объектов капитального строительства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действующим градостроительным и земельным законодательством,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условно разрешенные виды использования;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дополнительных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за правонарушения в области охраны и использования земель</w:t>
      </w: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/>
          <w:sz w:val="28"/>
          <w:szCs w:val="28"/>
          <w:lang w:val="en-US" w:eastAsia="ru-RU"/>
        </w:rPr>
        <w:t>XIII</w:t>
      </w:r>
      <w:r w:rsidRPr="00FE74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C4672D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Par166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Конституцией Российской Федерации; 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Кодексом Российской Федерации об административных правонарушениях; 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Земельным кодексом Российской Федерации; </w:t>
      </w:r>
    </w:p>
    <w:p w:rsidR="00C4672D" w:rsidRDefault="00C4672D" w:rsidP="00CF41E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F41E1">
        <w:rPr>
          <w:rFonts w:ascii="Times New Roman" w:eastAsiaTheme="minorHAnsi" w:hAnsi="Times New Roman"/>
          <w:sz w:val="28"/>
          <w:szCs w:val="28"/>
        </w:rPr>
        <w:t>Федеральный закон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иными нормативными правовыми актами.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72D" w:rsidRDefault="0033550E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="00C4672D">
        <w:rPr>
          <w:rFonts w:ascii="Times New Roman" w:hAnsi="Times New Roman"/>
          <w:sz w:val="28"/>
          <w:szCs w:val="28"/>
        </w:rPr>
        <w:t>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Проведение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</w:t>
      </w:r>
      <w:r w:rsidR="0033550E">
        <w:rPr>
          <w:rFonts w:ascii="Times New Roman" w:hAnsi="Times New Roman"/>
          <w:sz w:val="28"/>
          <w:szCs w:val="28"/>
        </w:rPr>
        <w:t xml:space="preserve"> (профилактические мероприятия)</w:t>
      </w:r>
      <w:r>
        <w:rPr>
          <w:rFonts w:ascii="Times New Roman" w:hAnsi="Times New Roman"/>
          <w:sz w:val="28"/>
          <w:szCs w:val="28"/>
        </w:rPr>
        <w:t>;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41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Размещение информации на официальном </w:t>
      </w:r>
      <w:r w:rsidR="0033550E">
        <w:rPr>
          <w:rFonts w:ascii="Times New Roman" w:hAnsi="Times New Roman"/>
          <w:sz w:val="28"/>
          <w:szCs w:val="28"/>
        </w:rPr>
        <w:t>портале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50E">
        <w:rPr>
          <w:rFonts w:ascii="Times New Roman" w:hAnsi="Times New Roman"/>
          <w:sz w:val="28"/>
          <w:szCs w:val="28"/>
        </w:rPr>
        <w:t xml:space="preserve">самоуправления </w:t>
      </w:r>
      <w:r w:rsidR="00CF41E1">
        <w:rPr>
          <w:rFonts w:ascii="Times New Roman" w:hAnsi="Times New Roman"/>
          <w:sz w:val="28"/>
          <w:szCs w:val="28"/>
        </w:rPr>
        <w:t>Администрации Полтавского муниципального района</w:t>
      </w:r>
      <w:r w:rsidR="0033550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«Интернет»;</w:t>
      </w:r>
    </w:p>
    <w:p w:rsidR="00C4672D" w:rsidRDefault="00CF41E1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672D">
        <w:rPr>
          <w:rFonts w:ascii="Times New Roman" w:hAnsi="Times New Roman"/>
          <w:sz w:val="28"/>
          <w:szCs w:val="28"/>
        </w:rPr>
        <w:t>).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C4672D" w:rsidRDefault="00CF41E1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72D">
        <w:rPr>
          <w:rFonts w:ascii="Times New Roman" w:hAnsi="Times New Roman"/>
          <w:sz w:val="28"/>
          <w:szCs w:val="28"/>
        </w:rPr>
        <w:t xml:space="preserve">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</w:t>
      </w:r>
      <w:r w:rsidR="0033550E">
        <w:rPr>
          <w:rFonts w:ascii="Times New Roman" w:hAnsi="Times New Roman"/>
          <w:sz w:val="28"/>
          <w:szCs w:val="28"/>
        </w:rPr>
        <w:t xml:space="preserve">портале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Полтавского муниципального района </w:t>
      </w:r>
      <w:r w:rsidR="0033550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C4672D">
        <w:rPr>
          <w:rFonts w:ascii="Times New Roman" w:hAnsi="Times New Roman"/>
          <w:sz w:val="28"/>
          <w:szCs w:val="28"/>
        </w:rPr>
        <w:t>.</w:t>
      </w:r>
    </w:p>
    <w:p w:rsidR="00C4672D" w:rsidRDefault="00C4672D" w:rsidP="00C4672D">
      <w:pPr>
        <w:jc w:val="both"/>
        <w:rPr>
          <w:rFonts w:ascii="Times New Roman" w:hAnsi="Times New Roman"/>
          <w:sz w:val="28"/>
          <w:szCs w:val="28"/>
        </w:rPr>
      </w:pPr>
    </w:p>
    <w:p w:rsidR="0033550E" w:rsidRDefault="0033550E" w:rsidP="00C4672D">
      <w:pPr>
        <w:jc w:val="both"/>
        <w:rPr>
          <w:rFonts w:ascii="Times New Roman" w:hAnsi="Times New Roman"/>
          <w:sz w:val="28"/>
          <w:szCs w:val="28"/>
        </w:rPr>
      </w:pP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Повышению эффективности осуществления муниципального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земельного контроля будет способствовать: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72D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Отдельное финансирование вопросов связанных с осуществлением муниципального земельного контроля;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Привлечение кадастровых инженеров;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Организация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задачи в вопросах осуществления муниципального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земельного контроля на территории </w:t>
      </w:r>
      <w:r w:rsidR="0033550E">
        <w:rPr>
          <w:rFonts w:ascii="Times New Roman" w:hAnsi="Times New Roman"/>
          <w:b/>
          <w:bCs/>
          <w:sz w:val="28"/>
          <w:szCs w:val="28"/>
        </w:rPr>
        <w:t>города Ханты-Мансийска</w:t>
      </w: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0E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355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33550E" w:rsidRDefault="0033550E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Осуществление рейдовых мероприятий без взаимодействия с юридическими лицами, индивидуальными предпринимателями, направленных на профилактику нарушений обязательных требований;</w:t>
      </w:r>
    </w:p>
    <w:p w:rsidR="00C4672D" w:rsidRDefault="00CF41E1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672D">
        <w:rPr>
          <w:rFonts w:ascii="Times New Roman" w:hAnsi="Times New Roman"/>
          <w:sz w:val="28"/>
          <w:szCs w:val="28"/>
        </w:rPr>
        <w:t xml:space="preserve">) Взаимодействие с органами государственного земельного </w:t>
      </w:r>
      <w:r w:rsidR="0033550E">
        <w:rPr>
          <w:rFonts w:ascii="Times New Roman" w:hAnsi="Times New Roman"/>
          <w:sz w:val="28"/>
          <w:szCs w:val="28"/>
        </w:rPr>
        <w:t>надзора</w:t>
      </w:r>
      <w:r w:rsidR="00C4672D">
        <w:rPr>
          <w:rFonts w:ascii="Times New Roman" w:hAnsi="Times New Roman"/>
          <w:sz w:val="28"/>
          <w:szCs w:val="28"/>
        </w:rPr>
        <w:t xml:space="preserve">, органами прокуратуры и иными органами и должностными лицами, чья деятельность связана с реализацией функций в области государственного земельного </w:t>
      </w:r>
      <w:r w:rsidR="0033550E">
        <w:rPr>
          <w:rFonts w:ascii="Times New Roman" w:hAnsi="Times New Roman"/>
          <w:sz w:val="28"/>
          <w:szCs w:val="28"/>
        </w:rPr>
        <w:t>надзора</w:t>
      </w:r>
      <w:r w:rsidR="00C4672D">
        <w:rPr>
          <w:rFonts w:ascii="Times New Roman" w:hAnsi="Times New Roman"/>
          <w:sz w:val="28"/>
          <w:szCs w:val="28"/>
        </w:rPr>
        <w:t>;</w:t>
      </w:r>
    </w:p>
    <w:p w:rsidR="00C4672D" w:rsidRDefault="00C4672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4672D" w:rsidSect="00CC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672D"/>
    <w:rsid w:val="000F1F98"/>
    <w:rsid w:val="001B4B52"/>
    <w:rsid w:val="00324195"/>
    <w:rsid w:val="0033550E"/>
    <w:rsid w:val="003D5EC6"/>
    <w:rsid w:val="00B5443C"/>
    <w:rsid w:val="00C454FC"/>
    <w:rsid w:val="00C4672D"/>
    <w:rsid w:val="00CC42E7"/>
    <w:rsid w:val="00CF41E1"/>
    <w:rsid w:val="00D7004C"/>
    <w:rsid w:val="00E4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76E387FF88BD5A64715BE4A6B7159DB217E1B44211A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0C66CF3B6FCDE7154447CB4B349511F759F3CC1EB070548C3B7972q4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5D6DC3E9360BFCF4F652440A9CA961461F5FC07A29AFA76C6B4D8C7B4CDF8F878559CD595B16C75m4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635D6DC3E9360BFCF4F652440A9CA961460F7FA07A49AFA76C6B4D8C7B4CDF8F878559CD594B06F75m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Александр</cp:lastModifiedBy>
  <cp:revision>4</cp:revision>
  <cp:lastPrinted>2018-07-30T06:26:00Z</cp:lastPrinted>
  <dcterms:created xsi:type="dcterms:W3CDTF">2021-12-22T06:37:00Z</dcterms:created>
  <dcterms:modified xsi:type="dcterms:W3CDTF">2021-12-22T11:01:00Z</dcterms:modified>
</cp:coreProperties>
</file>