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7D" w:rsidRPr="006838F3" w:rsidRDefault="0068737D" w:rsidP="0068737D">
      <w:pPr>
        <w:pStyle w:val="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8F3">
        <w:rPr>
          <w:rFonts w:ascii="Times New Roman" w:hAnsi="Times New Roman"/>
          <w:b/>
          <w:bCs/>
          <w:sz w:val="28"/>
          <w:szCs w:val="28"/>
          <w:u w:val="single"/>
        </w:rPr>
        <w:t xml:space="preserve">КОМИТЕТ ИМУЩЕСТВЕННЫХ ОТНОШЕНИЙ АДМИНИСТРАЦИИ </w:t>
      </w:r>
    </w:p>
    <w:p w:rsidR="0068737D" w:rsidRPr="006838F3" w:rsidRDefault="0068737D" w:rsidP="0068737D">
      <w:pPr>
        <w:pStyle w:val="8"/>
        <w:spacing w:before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838F3">
        <w:rPr>
          <w:rFonts w:ascii="Times New Roman" w:hAnsi="Times New Roman"/>
          <w:b/>
          <w:bCs/>
          <w:sz w:val="28"/>
          <w:szCs w:val="28"/>
          <w:u w:val="single"/>
        </w:rPr>
        <w:t>ПОЛТАВСКОГО МУНИЦИПАЛЬНОГО РАЙОНА</w:t>
      </w:r>
    </w:p>
    <w:p w:rsidR="0068737D" w:rsidRPr="006838F3" w:rsidRDefault="0068737D" w:rsidP="0068737D">
      <w:pPr>
        <w:rPr>
          <w:rFonts w:eastAsia="Calibri"/>
          <w:b/>
          <w:szCs w:val="28"/>
        </w:rPr>
      </w:pPr>
    </w:p>
    <w:p w:rsidR="0068737D" w:rsidRPr="006838F3" w:rsidRDefault="0068737D" w:rsidP="0068737D">
      <w:pPr>
        <w:jc w:val="center"/>
        <w:rPr>
          <w:rFonts w:eastAsia="Calibri"/>
          <w:b/>
          <w:sz w:val="36"/>
          <w:szCs w:val="36"/>
        </w:rPr>
      </w:pPr>
      <w:proofErr w:type="gramStart"/>
      <w:r w:rsidRPr="006838F3">
        <w:rPr>
          <w:rFonts w:eastAsia="Calibri"/>
          <w:b/>
          <w:sz w:val="36"/>
          <w:szCs w:val="36"/>
        </w:rPr>
        <w:t>Р</w:t>
      </w:r>
      <w:proofErr w:type="gramEnd"/>
      <w:r w:rsidRPr="006838F3">
        <w:rPr>
          <w:rFonts w:eastAsia="Calibri"/>
          <w:b/>
          <w:sz w:val="36"/>
          <w:szCs w:val="36"/>
        </w:rPr>
        <w:t xml:space="preserve"> А С П О Р Я Ж Е Н И Е  </w:t>
      </w:r>
    </w:p>
    <w:p w:rsidR="0068737D" w:rsidRPr="006838F3" w:rsidRDefault="0068737D" w:rsidP="0068737D">
      <w:pPr>
        <w:jc w:val="center"/>
        <w:rPr>
          <w:rFonts w:eastAsia="Calibri"/>
          <w:b/>
          <w:sz w:val="36"/>
          <w:szCs w:val="36"/>
        </w:rPr>
      </w:pPr>
    </w:p>
    <w:p w:rsidR="0068737D" w:rsidRPr="0068737D" w:rsidRDefault="0068737D" w:rsidP="0068737D">
      <w:pPr>
        <w:rPr>
          <w:rFonts w:eastAsia="Calibri"/>
          <w:sz w:val="28"/>
          <w:szCs w:val="28"/>
        </w:rPr>
      </w:pPr>
      <w:r w:rsidRPr="006838F3">
        <w:rPr>
          <w:rFonts w:eastAsia="Calibri"/>
          <w:sz w:val="26"/>
          <w:szCs w:val="26"/>
        </w:rPr>
        <w:t xml:space="preserve"> </w:t>
      </w:r>
      <w:r w:rsidRPr="0068737D">
        <w:rPr>
          <w:rFonts w:eastAsia="Calibri"/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68737D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68737D">
        <w:rPr>
          <w:rFonts w:eastAsia="Calibri"/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68737D">
        <w:rPr>
          <w:rFonts w:eastAsia="Calibri"/>
          <w:sz w:val="28"/>
          <w:szCs w:val="28"/>
        </w:rPr>
        <w:t xml:space="preserve"> года                                                                </w:t>
      </w:r>
      <w:r w:rsidRPr="0068737D">
        <w:rPr>
          <w:sz w:val="28"/>
          <w:szCs w:val="28"/>
        </w:rPr>
        <w:t xml:space="preserve">                  </w:t>
      </w:r>
      <w:r w:rsidR="0087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49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8737D">
        <w:rPr>
          <w:rFonts w:eastAsia="Calibri"/>
          <w:sz w:val="28"/>
          <w:szCs w:val="28"/>
        </w:rPr>
        <w:t xml:space="preserve">№ </w:t>
      </w:r>
      <w:r w:rsidR="00874975">
        <w:rPr>
          <w:rFonts w:eastAsia="Calibri"/>
          <w:sz w:val="28"/>
          <w:szCs w:val="28"/>
        </w:rPr>
        <w:t>44</w:t>
      </w:r>
    </w:p>
    <w:p w:rsidR="0068737D" w:rsidRDefault="0068737D" w:rsidP="0068737D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737D" w:rsidRDefault="00874975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Об утверждении 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>Программ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>ы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профилактики</w:t>
      </w:r>
      <w:r w:rsid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68737D"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рисков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причинения вреда (ущерба)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охраняемым</w:t>
      </w:r>
      <w:proofErr w:type="gramEnd"/>
    </w:p>
    <w:p w:rsidR="0068737D" w:rsidRP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законом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ценностям при осуществлении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 земельного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на</w:t>
      </w:r>
      <w:proofErr w:type="gramEnd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p w:rsidR="0068737D" w:rsidRDefault="0068737D" w:rsidP="0068737D">
      <w:pPr>
        <w:spacing w:after="0" w:line="240" w:lineRule="auto"/>
        <w:rPr>
          <w:rFonts w:eastAsia="Times New Roman"/>
          <w:bCs/>
          <w:color w:val="000000"/>
          <w:sz w:val="26"/>
          <w:szCs w:val="26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территориях сельских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поселений </w:t>
      </w:r>
      <w:proofErr w:type="gramStart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Полтавского</w:t>
      </w:r>
      <w:proofErr w:type="gramEnd"/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</w:p>
    <w:p w:rsidR="0068737D" w:rsidRPr="0068737D" w:rsidRDefault="0068737D" w:rsidP="0068737D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района</w:t>
      </w:r>
      <w:r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68737D">
        <w:rPr>
          <w:rFonts w:eastAsia="Times New Roman"/>
          <w:bCs/>
          <w:color w:val="000000"/>
          <w:sz w:val="26"/>
          <w:szCs w:val="26"/>
          <w:lang w:eastAsia="ru-RU"/>
        </w:rPr>
        <w:t>Омской области на 2022 год</w:t>
      </w:r>
    </w:p>
    <w:p w:rsidR="0068737D" w:rsidRPr="006838F3" w:rsidRDefault="0068737D" w:rsidP="0068737D">
      <w:pPr>
        <w:pStyle w:val="a5"/>
        <w:tabs>
          <w:tab w:val="clear" w:pos="5040"/>
          <w:tab w:val="left" w:pos="4111"/>
          <w:tab w:val="right" w:pos="5103"/>
        </w:tabs>
        <w:ind w:right="0"/>
        <w:rPr>
          <w:szCs w:val="28"/>
        </w:rPr>
      </w:pPr>
      <w:r w:rsidRPr="006838F3">
        <w:rPr>
          <w:szCs w:val="28"/>
        </w:rPr>
        <w:t>__</w:t>
      </w:r>
      <w:r>
        <w:rPr>
          <w:szCs w:val="28"/>
        </w:rPr>
        <w:t>___________________________</w:t>
      </w: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38F3" w:rsidRDefault="0068737D" w:rsidP="0068737D">
      <w:pPr>
        <w:jc w:val="center"/>
        <w:rPr>
          <w:rFonts w:eastAsia="Calibri"/>
          <w:sz w:val="10"/>
        </w:rPr>
      </w:pPr>
    </w:p>
    <w:p w:rsidR="0068737D" w:rsidRPr="0068737D" w:rsidRDefault="0068737D" w:rsidP="0048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eastAsia="Calibri"/>
          <w:spacing w:val="2"/>
          <w:sz w:val="28"/>
          <w:szCs w:val="28"/>
        </w:rPr>
      </w:pPr>
      <w:r w:rsidRPr="0068737D">
        <w:rPr>
          <w:rFonts w:eastAsia="Calibri"/>
          <w:sz w:val="28"/>
          <w:szCs w:val="28"/>
        </w:rPr>
        <w:t xml:space="preserve">В соответствии </w:t>
      </w:r>
      <w:r w:rsidR="0048593E">
        <w:rPr>
          <w:rFonts w:eastAsia="Calibri"/>
          <w:sz w:val="28"/>
          <w:szCs w:val="28"/>
        </w:rPr>
        <w:t xml:space="preserve">с </w:t>
      </w:r>
      <w:r w:rsidR="0048593E">
        <w:rPr>
          <w:sz w:val="26"/>
          <w:szCs w:val="26"/>
        </w:rPr>
        <w:t>Постановление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8737D">
        <w:rPr>
          <w:rFonts w:eastAsia="Calibri"/>
          <w:spacing w:val="2"/>
          <w:sz w:val="28"/>
          <w:szCs w:val="28"/>
        </w:rPr>
        <w:t>.</w:t>
      </w:r>
      <w:r w:rsidRPr="0068737D">
        <w:rPr>
          <w:rStyle w:val="apple-converted-space"/>
          <w:rFonts w:eastAsia="Calibri"/>
          <w:spacing w:val="2"/>
          <w:sz w:val="28"/>
          <w:szCs w:val="28"/>
        </w:rPr>
        <w:t> </w:t>
      </w:r>
    </w:p>
    <w:p w:rsidR="0068737D" w:rsidRPr="0068737D" w:rsidRDefault="0048593E" w:rsidP="00485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6"/>
          <w:szCs w:val="26"/>
        </w:rPr>
        <w:t xml:space="preserve">1. </w:t>
      </w:r>
      <w:r w:rsidR="0068737D" w:rsidRPr="0048593E">
        <w:rPr>
          <w:sz w:val="26"/>
          <w:szCs w:val="26"/>
        </w:rPr>
        <w:t xml:space="preserve">Утвердить </w:t>
      </w:r>
      <w:r w:rsidRPr="0048593E">
        <w:rPr>
          <w:sz w:val="26"/>
          <w:szCs w:val="26"/>
        </w:rPr>
        <w:t>Программ</w:t>
      </w:r>
      <w:r w:rsidR="00B60B40">
        <w:rPr>
          <w:sz w:val="26"/>
          <w:szCs w:val="26"/>
        </w:rPr>
        <w:t>у</w:t>
      </w:r>
      <w:r w:rsidRPr="0048593E"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территориях сельских поселений Полтавского района Омской области на 2022 год</w:t>
      </w:r>
      <w:r w:rsidR="00874975">
        <w:rPr>
          <w:sz w:val="26"/>
          <w:szCs w:val="26"/>
        </w:rPr>
        <w:t>.</w:t>
      </w:r>
    </w:p>
    <w:p w:rsidR="0068737D" w:rsidRPr="0068737D" w:rsidRDefault="0048593E" w:rsidP="0048593E">
      <w:pPr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68737D" w:rsidRPr="0068737D">
        <w:rPr>
          <w:rFonts w:eastAsia="Calibri"/>
          <w:sz w:val="28"/>
          <w:szCs w:val="28"/>
        </w:rPr>
        <w:t xml:space="preserve">Настоящее </w:t>
      </w:r>
      <w:r w:rsidR="00874975">
        <w:rPr>
          <w:rFonts w:eastAsia="Calibri"/>
          <w:sz w:val="28"/>
          <w:szCs w:val="28"/>
        </w:rPr>
        <w:t>распоряжение</w:t>
      </w:r>
      <w:r w:rsidR="0068737D" w:rsidRPr="0068737D">
        <w:rPr>
          <w:rFonts w:eastAsia="Calibri"/>
          <w:sz w:val="28"/>
          <w:szCs w:val="28"/>
        </w:rPr>
        <w:t xml:space="preserve"> подлежит опубликованию в сети Ин</w:t>
      </w:r>
      <w:r>
        <w:rPr>
          <w:rFonts w:eastAsia="Calibri"/>
          <w:sz w:val="28"/>
          <w:szCs w:val="28"/>
        </w:rPr>
        <w:t xml:space="preserve">тернет на </w:t>
      </w:r>
      <w:r w:rsidR="0068737D" w:rsidRPr="0068737D">
        <w:rPr>
          <w:rFonts w:eastAsia="Calibri"/>
          <w:sz w:val="28"/>
          <w:szCs w:val="28"/>
        </w:rPr>
        <w:t>официальном сайте Полтавского района.</w:t>
      </w:r>
    </w:p>
    <w:p w:rsidR="0068737D" w:rsidRPr="0068737D" w:rsidRDefault="0048593E" w:rsidP="0048593E">
      <w:pPr>
        <w:spacing w:after="0" w:line="240" w:lineRule="auto"/>
        <w:ind w:left="7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3. </w:t>
      </w:r>
      <w:r w:rsidR="0068737D" w:rsidRPr="0068737D">
        <w:rPr>
          <w:rFonts w:eastAsia="Calibri"/>
          <w:color w:val="000000"/>
          <w:sz w:val="28"/>
          <w:szCs w:val="28"/>
        </w:rPr>
        <w:t>Контроль исполнения настоящего распоряжения оставляю за собой</w:t>
      </w:r>
      <w:r>
        <w:rPr>
          <w:rFonts w:eastAsia="Calibri"/>
          <w:color w:val="000000"/>
          <w:sz w:val="28"/>
          <w:szCs w:val="28"/>
        </w:rPr>
        <w:t>.</w:t>
      </w: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8737D">
        <w:rPr>
          <w:rFonts w:eastAsia="Calibri"/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68737D">
        <w:rPr>
          <w:rFonts w:eastAsia="Calibri"/>
          <w:color w:val="000000"/>
          <w:sz w:val="28"/>
          <w:szCs w:val="28"/>
        </w:rPr>
        <w:t xml:space="preserve"> Комитета </w:t>
      </w:r>
    </w:p>
    <w:p w:rsidR="0068737D" w:rsidRPr="0068737D" w:rsidRDefault="0068737D" w:rsidP="0068737D">
      <w:pPr>
        <w:tabs>
          <w:tab w:val="left" w:pos="9540"/>
        </w:tabs>
        <w:spacing w:after="0"/>
        <w:rPr>
          <w:rFonts w:eastAsia="Calibri"/>
          <w:color w:val="000000"/>
          <w:sz w:val="28"/>
          <w:szCs w:val="28"/>
        </w:rPr>
      </w:pPr>
      <w:r w:rsidRPr="0068737D">
        <w:rPr>
          <w:rFonts w:eastAsia="Calibri"/>
          <w:color w:val="000000"/>
          <w:sz w:val="28"/>
          <w:szCs w:val="28"/>
        </w:rPr>
        <w:t xml:space="preserve">имущественных отношений                                                          </w:t>
      </w:r>
      <w:r w:rsidR="0048593E">
        <w:rPr>
          <w:rFonts w:eastAsia="Calibri"/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Т.А. Андреева</w:t>
      </w:r>
    </w:p>
    <w:p w:rsidR="0068737D" w:rsidRPr="006838F3" w:rsidRDefault="0068737D" w:rsidP="0068737D">
      <w:pPr>
        <w:spacing w:after="0"/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68737D" w:rsidRPr="006838F3" w:rsidRDefault="0068737D" w:rsidP="0068737D">
      <w:pPr>
        <w:rPr>
          <w:rFonts w:eastAsia="Calibri"/>
          <w:color w:val="000000"/>
        </w:rPr>
      </w:pPr>
    </w:p>
    <w:p w:rsidR="00EF3DC9" w:rsidRDefault="00EF3DC9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Утвержден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>о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распоряжением </w:t>
      </w:r>
      <w:r w:rsidR="00785BC7">
        <w:rPr>
          <w:rFonts w:eastAsia="Times New Roman"/>
          <w:color w:val="000000"/>
          <w:sz w:val="26"/>
          <w:szCs w:val="26"/>
          <w:lang w:eastAsia="ru-RU"/>
        </w:rPr>
        <w:t xml:space="preserve">Комитета </w:t>
      </w:r>
    </w:p>
    <w:p w:rsidR="00785BC7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имущественных отношений администрации</w:t>
      </w:r>
    </w:p>
    <w:p w:rsidR="00785BC7" w:rsidRPr="00EF3DC9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Полтавского муниципального района Омской области 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от 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>26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 xml:space="preserve">ноября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года № </w:t>
      </w:r>
      <w:r w:rsidR="00874975">
        <w:rPr>
          <w:rFonts w:eastAsia="Times New Roman"/>
          <w:color w:val="000000"/>
          <w:sz w:val="26"/>
          <w:szCs w:val="26"/>
          <w:lang w:eastAsia="ru-RU"/>
        </w:rPr>
        <w:t>44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5BC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сельских поселений Полтавского района 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Омской области 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на 2022 год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1.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предусматривает комплекс мероприятий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земельный контроль).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1.2.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Положением о Комитете имущественных отношений администрации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(далее –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) является уполномоченным органом по осуществлению муниципального з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емельного контроля 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1.3.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Уполномоченным органом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осуществляющим муниципальный контроль,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 имущественных отношений администрации 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2. Анализ текущего состояния осуществления вида контроля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2.1. Обязательные требования оценка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, является предметом муниципального земельного контроля, установлены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Земельным кодексом Российской Федерации.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При осуществлении муниципального земельного контроля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 осуществляет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соблюдением: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земель, земельного участка или части земельного участка лицом, не имеющим предусмотренных законодательством прав на них;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>1.7.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в рамках осуществления муниципального земельного контроля обеспечивается учет объектов</w:t>
      </w: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к которым Земельным кодексом Российской Федерации предъявляются обязательные требования.</w:t>
      </w:r>
      <w:proofErr w:type="gramEnd"/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2.4. Штатная численность должностных лиц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Комитета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уполномоченных осуществлять муниципальный земельный контроль, в 202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года составляло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человек.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2.5. В рамках осуществления мероприятий по муниципальному земельному контролю в 202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проведена следующая работа.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Муниципальный земельный контроль в 202</w:t>
      </w:r>
      <w:r w:rsidR="00646D95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осуществлялся в форме</w:t>
      </w:r>
      <w:r w:rsidR="00646D95">
        <w:rPr>
          <w:rFonts w:eastAsia="Times New Roman"/>
          <w:color w:val="000000"/>
          <w:sz w:val="26"/>
          <w:szCs w:val="26"/>
          <w:lang w:eastAsia="ru-RU"/>
        </w:rPr>
        <w:t xml:space="preserve"> внеплановых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проверок, в отношении физических лиц.</w:t>
      </w:r>
    </w:p>
    <w:p w:rsidR="00EF3DC9" w:rsidRPr="00EF3DC9" w:rsidRDefault="00646D95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>роводились внеплановые проверки в отношении физических лиц, в том числе внеплановые проверки исполнения ранее выданных предписаний.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Внеплановые проверки соблюдения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Следует отметить, что в целях исполнения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Постановление Правительства РФ от 30.11.2020 N 1969 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«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="006E331F">
        <w:rPr>
          <w:rFonts w:eastAsia="Times New Roman"/>
          <w:color w:val="000000"/>
          <w:sz w:val="26"/>
          <w:szCs w:val="26"/>
          <w:lang w:eastAsia="ru-RU"/>
        </w:rPr>
        <w:t>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плановые проверки в отношении юридических лиц, индивидуальных предпринимателей исключены из ежегодного 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плана</w:t>
      </w:r>
      <w:proofErr w:type="gramStart"/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ри осуществлении муниципального земельного контроля Управление взаимодействует с органами государственного земельного надзора. Правила взаимодействия федеральных органов исполнительной власти,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27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рок 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из них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 внеплановых проверок исполнения ранее выданных предписаний,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проверк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внеплановые</w:t>
      </w:r>
      <w:r w:rsidR="00D32B32" w:rsidRPr="00D32B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выявлено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нарушений земельного законодательства;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вынесено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предписаний на устранение выявленных нарушений, из них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повторных предписаний, исполнение данных предписаний находится на контроле, - устранено выявленных нарушений –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по фактам неисполнения ранее выданных предписаний составлено и направлено на рассмотрение в мировые суды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протоколов об административных правонарушениях.</w:t>
      </w:r>
    </w:p>
    <w:p w:rsidR="00D32B32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 составлено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 об административной ответственности, наложено штрафов на сумму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5,0 тыс. рублей.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D32B32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 xml:space="preserve">По результатам рассмотрения мировыми судами протоколов об административных правонарушениях за неисполнение предписаний наложено штрафов на сумму </w:t>
      </w:r>
      <w:r>
        <w:rPr>
          <w:rFonts w:eastAsia="Times New Roman"/>
          <w:color w:val="000000"/>
          <w:sz w:val="26"/>
          <w:szCs w:val="26"/>
          <w:lang w:eastAsia="ru-RU"/>
        </w:rPr>
        <w:t>6000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 xml:space="preserve"> рублей.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3.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уровня развития профилактической деятельности контрольного органа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рамках развития и осуществления профилактической деятельности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 202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на официальном сайте в сети «Интернет»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информирование юридических лиц, индивидуальных предпринимателей по вопросам соблюдения обязательных требований, в том числе посредством, разъяснительной работы на официальном сайте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в сети «Интернет»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осуществлялось консультирование по вопросам соблюдения обязательных требований;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проводились плановые (рейдовые) осмотры, обследования земельных участков.</w:t>
      </w:r>
    </w:p>
    <w:p w:rsidR="00EF3DC9" w:rsidRPr="00EF3DC9" w:rsidRDefault="00EF3DC9" w:rsidP="00EF3DC9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4.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4.1. Основными проблемами, на решение которых направлена настоящая программа,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EF3DC9" w:rsidRPr="00EF3DC9" w:rsidRDefault="00EF3DC9" w:rsidP="00EF3DC9">
      <w:pPr>
        <w:spacing w:after="0" w:line="240" w:lineRule="auto"/>
        <w:ind w:firstLine="709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- недополучение бюджетом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денежных средств от оплаты земельного налога, арендных платежей за пользование земельными участками.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II. Цели и задачи реализации программы профилактики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5.1. Основными целями программы профилактики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субъектами;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5.2. Проведение профилактических мероприятий программы профилактики направлено на решение следующих задач: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укрепление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7"/>
        <w:gridCol w:w="3397"/>
        <w:gridCol w:w="1911"/>
        <w:gridCol w:w="3543"/>
      </w:tblGrid>
      <w:tr w:rsidR="00EF3DC9" w:rsidRPr="00EF3DC9" w:rsidTr="00EF3D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7E6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7E65B1" w:rsidP="007E65B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</w:tbl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6.2. Консультирование осуществляется без взимания платы и может осуществляться по телефону, посредством </w:t>
      </w:r>
      <w:proofErr w:type="spellStart"/>
      <w:r w:rsidRPr="00EF3DC9">
        <w:rPr>
          <w:rFonts w:eastAsia="Times New Roman"/>
          <w:color w:val="000000"/>
          <w:sz w:val="26"/>
          <w:szCs w:val="26"/>
          <w:lang w:eastAsia="ru-RU"/>
        </w:rPr>
        <w:t>видео-конференц-связи</w:t>
      </w:r>
      <w:proofErr w:type="spellEnd"/>
      <w:r w:rsidRPr="00EF3DC9">
        <w:rPr>
          <w:rFonts w:eastAsia="Times New Roman"/>
          <w:color w:val="000000"/>
          <w:sz w:val="26"/>
          <w:szCs w:val="26"/>
          <w:lang w:eastAsia="ru-RU"/>
        </w:rPr>
        <w:t>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6.3. Информация о месте, инспекторах, проводящих личный прием, а также об установленных для приема днях и часах размещается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органом муниципального земельного контроля на официальном сайте Администрации.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6.4. Консультирование осуществляется по следующим вопросам: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организация и осуществление муниципального земельного контроля;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порядок осуществления профилактических, контрольных мероприятий, установленных Положением.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6.5. Консультирование в письменной форме осуществляется в следующих случаях: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IV. Показатели результативности и эффективности программы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EF3DC9" w:rsidRPr="00EF3DC9" w:rsidTr="00EF3DC9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Уполномоченного органа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мероприятий, проведенных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Уполномоченным органом</w:t>
            </w:r>
          </w:p>
        </w:tc>
      </w:tr>
    </w:tbl>
    <w:p w:rsidR="00B913A5" w:rsidRDefault="00B913A5"/>
    <w:sectPr w:rsidR="00B913A5" w:rsidSect="006873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3DC9"/>
    <w:rsid w:val="0003085F"/>
    <w:rsid w:val="001C4CE6"/>
    <w:rsid w:val="00272597"/>
    <w:rsid w:val="00334FD9"/>
    <w:rsid w:val="003D7AE0"/>
    <w:rsid w:val="004422A0"/>
    <w:rsid w:val="0048593E"/>
    <w:rsid w:val="00543B1E"/>
    <w:rsid w:val="00646D95"/>
    <w:rsid w:val="0068737D"/>
    <w:rsid w:val="006E331F"/>
    <w:rsid w:val="007110F5"/>
    <w:rsid w:val="00785BC7"/>
    <w:rsid w:val="007E65B1"/>
    <w:rsid w:val="0084667B"/>
    <w:rsid w:val="008631CB"/>
    <w:rsid w:val="00874975"/>
    <w:rsid w:val="008F6561"/>
    <w:rsid w:val="00B60B40"/>
    <w:rsid w:val="00B913A5"/>
    <w:rsid w:val="00CC6F85"/>
    <w:rsid w:val="00D32B32"/>
    <w:rsid w:val="00E0606A"/>
    <w:rsid w:val="00E10BE5"/>
    <w:rsid w:val="00E87F7C"/>
    <w:rsid w:val="00ED573E"/>
    <w:rsid w:val="00E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37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F7C"/>
    <w:rPr>
      <w:color w:val="0000FF"/>
      <w:u w:val="single"/>
    </w:rPr>
  </w:style>
  <w:style w:type="paragraph" w:customStyle="1" w:styleId="ConsPlusNormal">
    <w:name w:val="ConsPlusNormal"/>
    <w:uiPriority w:val="99"/>
    <w:rsid w:val="008F65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68737D"/>
    <w:rPr>
      <w:rFonts w:ascii="Cambria" w:eastAsia="Times New Roman" w:hAnsi="Cambria"/>
      <w:color w:val="40404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737D"/>
  </w:style>
  <w:style w:type="paragraph" w:customStyle="1" w:styleId="Heading">
    <w:name w:val="Heading"/>
    <w:rsid w:val="006873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68737D"/>
    <w:pPr>
      <w:tabs>
        <w:tab w:val="right" w:pos="5040"/>
      </w:tabs>
      <w:spacing w:after="0" w:line="240" w:lineRule="auto"/>
      <w:ind w:right="4315"/>
      <w:jc w:val="both"/>
    </w:pPr>
    <w:rPr>
      <w:rFonts w:eastAsia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8737D"/>
    <w:rPr>
      <w:rFonts w:eastAsia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68737D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68737D"/>
    <w:rPr>
      <w:rFonts w:eastAsia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21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5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1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6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9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dcterms:created xsi:type="dcterms:W3CDTF">2021-09-29T11:14:00Z</dcterms:created>
  <dcterms:modified xsi:type="dcterms:W3CDTF">2021-11-26T04:49:00Z</dcterms:modified>
</cp:coreProperties>
</file>