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7C" w:rsidRPr="00E87F7C" w:rsidRDefault="00E87F7C" w:rsidP="00E87F7C">
      <w:pPr>
        <w:shd w:val="clear" w:color="auto" w:fill="FFFFFF"/>
        <w:spacing w:after="0" w:line="240" w:lineRule="auto"/>
        <w:rPr>
          <w:rFonts w:ascii="Verdana" w:eastAsia="Times New Roman" w:hAnsi="Verdana"/>
          <w:color w:val="404040"/>
          <w:sz w:val="15"/>
          <w:szCs w:val="15"/>
          <w:lang w:eastAsia="ru-RU"/>
        </w:rPr>
      </w:pP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Срок приёма заключений: с 01.10.2021 по 01.11.2021</w:t>
      </w:r>
    </w:p>
    <w:p w:rsidR="00E87F7C" w:rsidRPr="00E87F7C" w:rsidRDefault="00E87F7C" w:rsidP="008631CB">
      <w:pPr>
        <w:spacing w:after="0" w:line="240" w:lineRule="auto"/>
        <w:rPr>
          <w:rFonts w:ascii="Verdana" w:eastAsia="Times New Roman" w:hAnsi="Verdana"/>
          <w:color w:val="404040"/>
          <w:sz w:val="15"/>
          <w:szCs w:val="15"/>
          <w:lang w:eastAsia="ru-RU"/>
        </w:rPr>
      </w:pP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>Процедура: общественное обсуждение</w:t>
      </w:r>
    </w:p>
    <w:p w:rsidR="00E87F7C" w:rsidRPr="00E87F7C" w:rsidRDefault="00E87F7C" w:rsidP="001C4CE6">
      <w:pPr>
        <w:shd w:val="clear" w:color="auto" w:fill="FFFFFF"/>
        <w:spacing w:before="100" w:beforeAutospacing="1" w:after="100" w:afterAutospacing="1" w:line="225" w:lineRule="atLeast"/>
        <w:rPr>
          <w:rFonts w:ascii="Verdana" w:eastAsia="Times New Roman" w:hAnsi="Verdana"/>
          <w:color w:val="404040"/>
          <w:sz w:val="15"/>
          <w:szCs w:val="15"/>
          <w:lang w:eastAsia="ru-RU"/>
        </w:rPr>
      </w:pP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Мнения, замечания и предложения направляются по прилагаемой </w:t>
      </w:r>
      <w:r w:rsidR="00543B1E">
        <w:rPr>
          <w:rFonts w:ascii="Verdana" w:eastAsia="Times New Roman" w:hAnsi="Verdana"/>
          <w:color w:val="404040"/>
          <w:sz w:val="15"/>
          <w:szCs w:val="15"/>
          <w:lang w:eastAsia="ru-RU"/>
        </w:rPr>
        <w:t>форме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: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>- в электронном виде на адрес: </w:t>
      </w:r>
      <w:proofErr w:type="spellStart"/>
      <w:r w:rsidR="001C4CE6">
        <w:rPr>
          <w:rFonts w:ascii="Verdana" w:eastAsia="Times New Roman" w:hAnsi="Verdana"/>
          <w:color w:val="0E63A1"/>
          <w:sz w:val="15"/>
          <w:u w:val="single"/>
          <w:lang w:val="en-US" w:eastAsia="ru-RU"/>
        </w:rPr>
        <w:t>asolovyev</w:t>
      </w:r>
      <w:proofErr w:type="spellEnd"/>
      <w:r w:rsidR="001C4CE6" w:rsidRPr="001C4CE6">
        <w:rPr>
          <w:rFonts w:ascii="Verdana" w:eastAsia="Times New Roman" w:hAnsi="Verdana"/>
          <w:color w:val="0E63A1"/>
          <w:sz w:val="15"/>
          <w:u w:val="single"/>
          <w:lang w:eastAsia="ru-RU"/>
        </w:rPr>
        <w:t>@</w:t>
      </w:r>
      <w:proofErr w:type="spellStart"/>
      <w:r w:rsidR="001C4CE6">
        <w:rPr>
          <w:rFonts w:ascii="Verdana" w:eastAsia="Times New Roman" w:hAnsi="Verdana"/>
          <w:color w:val="0E63A1"/>
          <w:sz w:val="15"/>
          <w:u w:val="single"/>
          <w:lang w:val="en-US" w:eastAsia="ru-RU"/>
        </w:rPr>
        <w:t>plt</w:t>
      </w:r>
      <w:proofErr w:type="spellEnd"/>
      <w:r w:rsidR="001C4CE6" w:rsidRPr="001C4CE6">
        <w:rPr>
          <w:rFonts w:ascii="Verdana" w:eastAsia="Times New Roman" w:hAnsi="Verdana"/>
          <w:color w:val="0E63A1"/>
          <w:sz w:val="15"/>
          <w:u w:val="single"/>
          <w:lang w:eastAsia="ru-RU"/>
        </w:rPr>
        <w:t>.</w:t>
      </w:r>
      <w:r w:rsidR="001C4CE6">
        <w:rPr>
          <w:rFonts w:ascii="Verdana" w:eastAsia="Times New Roman" w:hAnsi="Verdana"/>
          <w:color w:val="0E63A1"/>
          <w:sz w:val="15"/>
          <w:u w:val="single"/>
          <w:lang w:val="en-US" w:eastAsia="ru-RU"/>
        </w:rPr>
        <w:t>omskportal</w:t>
      </w:r>
      <w:r w:rsidR="001C4CE6" w:rsidRPr="001C4CE6">
        <w:rPr>
          <w:rFonts w:ascii="Verdana" w:eastAsia="Times New Roman" w:hAnsi="Verdana"/>
          <w:color w:val="0E63A1"/>
          <w:sz w:val="15"/>
          <w:u w:val="single"/>
          <w:lang w:eastAsia="ru-RU"/>
        </w:rPr>
        <w:t>.</w:t>
      </w:r>
      <w:r w:rsidR="001C4CE6">
        <w:rPr>
          <w:rFonts w:ascii="Verdana" w:eastAsia="Times New Roman" w:hAnsi="Verdana"/>
          <w:color w:val="0E63A1"/>
          <w:sz w:val="15"/>
          <w:u w:val="single"/>
          <w:lang w:val="en-US" w:eastAsia="ru-RU"/>
        </w:rPr>
        <w:t>ru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 xml:space="preserve">- на бумажном носителе по адресу: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р.п. Полтавка, ул. Ленина, д. 6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, кабинет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12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.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 xml:space="preserve">Контактное лицо по вопросам публичных консультаций: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Соловьев Александр Егорович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,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заместитель председателя Комитета имущественных отношений администрации Полтавского муниципального района Омской области</w:t>
      </w:r>
      <w:proofErr w:type="gramStart"/>
      <w:r w:rsidR="00543B1E">
        <w:rPr>
          <w:rFonts w:ascii="Verdana" w:eastAsia="Times New Roman" w:hAnsi="Verdana"/>
          <w:color w:val="404040"/>
          <w:sz w:val="15"/>
          <w:szCs w:val="15"/>
          <w:lang w:eastAsia="ru-RU"/>
        </w:rPr>
        <w:t>.</w:t>
      </w:r>
      <w:proofErr w:type="gramEnd"/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</w:r>
      <w:proofErr w:type="gramStart"/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т</w:t>
      </w:r>
      <w:proofErr w:type="gramEnd"/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елефон: 8 (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38163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)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24-378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>.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br/>
        <w:t xml:space="preserve">График работы: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понедельни</w:t>
      </w:r>
      <w:proofErr w:type="gramStart"/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к-</w:t>
      </w:r>
      <w:proofErr w:type="gramEnd"/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 пятница 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с 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08-30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 до 1</w:t>
      </w:r>
      <w:r w:rsidR="001C4CE6">
        <w:rPr>
          <w:rFonts w:ascii="Verdana" w:eastAsia="Times New Roman" w:hAnsi="Verdana"/>
          <w:color w:val="404040"/>
          <w:sz w:val="15"/>
          <w:szCs w:val="15"/>
          <w:lang w:eastAsia="ru-RU"/>
        </w:rPr>
        <w:t>7-45, пятница с 08-30 до 16-30</w:t>
      </w:r>
      <w:r w:rsidRPr="00E87F7C">
        <w:rPr>
          <w:rFonts w:ascii="Verdana" w:eastAsia="Times New Roman" w:hAnsi="Verdana"/>
          <w:color w:val="404040"/>
          <w:sz w:val="15"/>
          <w:szCs w:val="15"/>
          <w:lang w:eastAsia="ru-RU"/>
        </w:rPr>
        <w:t xml:space="preserve"> (перерыв с 13 00 до 14 00).</w:t>
      </w: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8631CB" w:rsidRDefault="008631CB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C4CE6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E87F7C" w:rsidRDefault="001C4CE6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lastRenderedPageBreak/>
        <w:t>Проект</w:t>
      </w:r>
    </w:p>
    <w:p w:rsidR="00E87F7C" w:rsidRDefault="00E87F7C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E87F7C" w:rsidRDefault="00E87F7C" w:rsidP="00EF3DC9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EF3DC9" w:rsidRDefault="00EF3DC9" w:rsidP="00785BC7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Утверждена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распоряжением </w:t>
      </w:r>
      <w:r w:rsidR="00785BC7">
        <w:rPr>
          <w:rFonts w:eastAsia="Times New Roman"/>
          <w:color w:val="000000"/>
          <w:sz w:val="26"/>
          <w:szCs w:val="26"/>
          <w:lang w:eastAsia="ru-RU"/>
        </w:rPr>
        <w:t xml:space="preserve">Комитета </w:t>
      </w:r>
    </w:p>
    <w:p w:rsidR="00785BC7" w:rsidRDefault="00785BC7" w:rsidP="00785BC7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имущественных отношений администрации</w:t>
      </w:r>
    </w:p>
    <w:p w:rsidR="00785BC7" w:rsidRPr="00EF3DC9" w:rsidRDefault="00785BC7" w:rsidP="00785BC7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Полтавского муниципального района Омской области </w:t>
      </w:r>
    </w:p>
    <w:p w:rsidR="00EF3DC9" w:rsidRPr="00EF3DC9" w:rsidRDefault="00EF3DC9" w:rsidP="00EF3DC9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от _____________ года № ______</w:t>
      </w:r>
    </w:p>
    <w:p w:rsidR="00EF3DC9" w:rsidRPr="00EF3DC9" w:rsidRDefault="00EF3DC9" w:rsidP="00EF3DC9">
      <w:pPr>
        <w:spacing w:after="0" w:line="240" w:lineRule="auto"/>
        <w:jc w:val="right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</w:t>
      </w:r>
      <w:r w:rsidR="003D7AE0">
        <w:rPr>
          <w:rFonts w:eastAsia="Times New Roman"/>
          <w:b/>
          <w:bCs/>
          <w:color w:val="000000"/>
          <w:sz w:val="26"/>
          <w:szCs w:val="26"/>
          <w:lang w:eastAsia="ru-RU"/>
        </w:rPr>
        <w:t>ях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785BC7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сельских поселений Полтавского района </w:t>
      </w:r>
      <w:r w:rsidR="003D7AE0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Омской области 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на 2022 год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1.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1.1.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предусматривает комплекс мероприятий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по профилактике рисков причинения вреда (ущерба) охраняемым законом ценностям при осуществлении муниципального земельного контроля на территори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ях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земельный контроль).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1.2.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Положением о Комитете имущественных отношений администрации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(далее –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Комитет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) является уполномоченным органом по осуществлению муниципального з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емельного контроля 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1.3.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Уполномоченным органом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осуществляющим муниципальный контроль, 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Комитет имущественных отношений администрации Полтавского муниципального района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2. Анализ текущего состояния осуществления вида контроля</w:t>
      </w:r>
    </w:p>
    <w:p w:rsidR="00EF3DC9" w:rsidRPr="00EF3DC9" w:rsidRDefault="00EF3DC9" w:rsidP="00EF3DC9">
      <w:pPr>
        <w:spacing w:after="0" w:line="240" w:lineRule="auto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2.1. Обязательные требования оценка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которых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>, является предметом муниципального земельного контроля, установлены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Земельным кодексом Российской Федерации.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При осуществлении муниципального земельного контроля </w:t>
      </w:r>
      <w:r w:rsidR="003D7AE0">
        <w:rPr>
          <w:rFonts w:eastAsia="Times New Roman"/>
          <w:color w:val="000000"/>
          <w:sz w:val="26"/>
          <w:szCs w:val="26"/>
          <w:lang w:eastAsia="ru-RU"/>
        </w:rPr>
        <w:t>Комитет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 осуществляет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соблюдением: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20">
        <w:rPr>
          <w:rFonts w:ascii="Times New Roman" w:hAnsi="Times New Roman" w:cs="Times New Roman"/>
          <w:color w:val="000000"/>
          <w:sz w:val="28"/>
          <w:szCs w:val="28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8F6561" w:rsidRPr="00F96A20" w:rsidRDefault="008F6561" w:rsidP="008F656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6A20">
        <w:rPr>
          <w:rFonts w:ascii="Times New Roman" w:hAnsi="Times New Roman" w:cs="Times New Roman"/>
          <w:bCs/>
          <w:color w:val="000000"/>
          <w:sz w:val="28"/>
          <w:szCs w:val="28"/>
        </w:rPr>
        <w:t>1.7.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 в рамках осуществления муниципального земельного контроля обеспечивается учет объектов</w:t>
      </w:r>
      <w:r w:rsidRPr="00F96A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земельного</w:t>
      </w:r>
      <w:r w:rsidRPr="00F96A2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2.2.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, к которым Земельным кодексом Российской Федерации предъявляются обязательные требования.</w:t>
      </w:r>
      <w:proofErr w:type="gramEnd"/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2.4. Штатная численность должностных лиц 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Комитета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, уполномоченных осуществлять муниципальный земельный контроль, в 202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года составляло 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человек.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2.5. В рамках осуществления мероприятий по муниципальному земельному контролю в 202</w:t>
      </w:r>
      <w:r w:rsidR="008F6561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 проведена следующая работа.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Муниципальный земельный контроль в 202</w:t>
      </w:r>
      <w:r w:rsidR="00646D95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 осуществлялся в форме</w:t>
      </w:r>
      <w:r w:rsidR="00646D95">
        <w:rPr>
          <w:rFonts w:eastAsia="Times New Roman"/>
          <w:color w:val="000000"/>
          <w:sz w:val="26"/>
          <w:szCs w:val="26"/>
          <w:lang w:eastAsia="ru-RU"/>
        </w:rPr>
        <w:t xml:space="preserve"> внеплановых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проверок, в отношении физических лиц.</w:t>
      </w:r>
    </w:p>
    <w:p w:rsidR="00EF3DC9" w:rsidRPr="00EF3DC9" w:rsidRDefault="00646D95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EF3DC9" w:rsidRPr="00EF3DC9">
        <w:rPr>
          <w:rFonts w:eastAsia="Times New Roman"/>
          <w:color w:val="000000"/>
          <w:sz w:val="26"/>
          <w:szCs w:val="26"/>
          <w:lang w:eastAsia="ru-RU"/>
        </w:rPr>
        <w:t>роводились внеплановые проверки в отношении физических лиц, в том числе внеплановые проверки исполнения ранее выданных предписаний.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Внеплановые проверки соблюдения земельного законодательства в отношении юридических лиц проводятся исключительно по основаниям, предусмотренным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Следует отметить, что в целях исполнения</w:t>
      </w:r>
      <w:r w:rsidR="006E33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t xml:space="preserve">Постановление Правительства РФ от 30.11.2020 N 1969 </w:t>
      </w:r>
      <w:r w:rsidR="006E331F">
        <w:rPr>
          <w:rFonts w:eastAsia="Times New Roman"/>
          <w:color w:val="000000"/>
          <w:sz w:val="26"/>
          <w:szCs w:val="26"/>
          <w:lang w:eastAsia="ru-RU"/>
        </w:rPr>
        <w:t>«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t xml:space="preserve">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</w:t>
      </w:r>
      <w:r w:rsidR="006E331F" w:rsidRPr="006E331F">
        <w:rPr>
          <w:rFonts w:eastAsia="Times New Roman"/>
          <w:color w:val="000000"/>
          <w:sz w:val="26"/>
          <w:szCs w:val="26"/>
          <w:lang w:eastAsia="ru-RU"/>
        </w:rPr>
        <w:lastRenderedPageBreak/>
        <w:t>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="006E331F">
        <w:rPr>
          <w:rFonts w:eastAsia="Times New Roman"/>
          <w:color w:val="000000"/>
          <w:sz w:val="26"/>
          <w:szCs w:val="26"/>
          <w:lang w:eastAsia="ru-RU"/>
        </w:rPr>
        <w:t>»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плановые проверки в отношении юридических лиц, индивидуальных предпринимателей исключены из ежегодного </w:t>
      </w:r>
      <w:r w:rsidR="006E331F">
        <w:rPr>
          <w:rFonts w:eastAsia="Times New Roman"/>
          <w:color w:val="000000"/>
          <w:sz w:val="26"/>
          <w:szCs w:val="26"/>
          <w:lang w:eastAsia="ru-RU"/>
        </w:rPr>
        <w:t>плана</w:t>
      </w:r>
      <w:proofErr w:type="gramStart"/>
      <w:r w:rsidR="006E331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>ри осуществлении муниципального земельного контроля Управление взаимодействует с органами государственного земельного надзора.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утверждены постановлением Правительства Российской Федерации от 26 декабря 2014 года № 1515.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27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внеплановых прове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рок в отношении физических лиц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, из них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4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– внеплановых проверок исполнения ранее выданных предписаний,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–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проверк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внеплановые</w:t>
      </w:r>
      <w:r w:rsidR="00D32B32" w:rsidRPr="00D32B32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в отношении физических лиц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выявлено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нарушений земельного законодательства;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вынесено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предписаний на устранение выявленных нарушений, из них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20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повторных предписаний, исполнение данных предписаний находится на контроле, - устранено выявленных нарушений –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по фактам неисполнения ранее выданных предписаний составлено и направлено на рассмотрение в мировые суды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20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протоколов об административных правонарушениях.</w:t>
      </w:r>
    </w:p>
    <w:p w:rsidR="00D32B32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 составлено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протокол об административной ответственности, наложено штрафов на сумму </w:t>
      </w:r>
      <w:r w:rsidR="00D32B32">
        <w:rPr>
          <w:rFonts w:eastAsia="Times New Roman"/>
          <w:color w:val="000000"/>
          <w:sz w:val="26"/>
          <w:szCs w:val="26"/>
          <w:lang w:eastAsia="ru-RU"/>
        </w:rPr>
        <w:t>5,0 тыс. рублей.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D32B32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EF3DC9" w:rsidRPr="00EF3DC9">
        <w:rPr>
          <w:rFonts w:eastAsia="Times New Roman"/>
          <w:color w:val="000000"/>
          <w:sz w:val="26"/>
          <w:szCs w:val="26"/>
          <w:lang w:eastAsia="ru-RU"/>
        </w:rPr>
        <w:t xml:space="preserve">По результатам рассмотрения мировыми судами протоколов об административных правонарушениях за неисполнение предписаний наложено штрафов на сумму </w:t>
      </w:r>
      <w:r>
        <w:rPr>
          <w:rFonts w:eastAsia="Times New Roman"/>
          <w:color w:val="000000"/>
          <w:sz w:val="26"/>
          <w:szCs w:val="26"/>
          <w:lang w:eastAsia="ru-RU"/>
        </w:rPr>
        <w:t>6000</w:t>
      </w:r>
      <w:r w:rsidR="00EF3DC9" w:rsidRPr="00EF3DC9">
        <w:rPr>
          <w:rFonts w:eastAsia="Times New Roman"/>
          <w:color w:val="000000"/>
          <w:sz w:val="26"/>
          <w:szCs w:val="26"/>
          <w:lang w:eastAsia="ru-RU"/>
        </w:rPr>
        <w:t xml:space="preserve"> рублей.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3.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уровня развития профилактической деятельности контрольного органа</w:t>
      </w:r>
    </w:p>
    <w:p w:rsidR="00EF3DC9" w:rsidRPr="00EF3DC9" w:rsidRDefault="00EF3DC9" w:rsidP="00EF3DC9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3.1.</w:t>
      </w:r>
      <w:r w:rsidRPr="00EF3DC9">
        <w:rPr>
          <w:rFonts w:eastAsia="Times New Roman"/>
          <w:color w:val="000000"/>
          <w:sz w:val="14"/>
          <w:szCs w:val="14"/>
          <w:lang w:eastAsia="ru-RU"/>
        </w:rPr>
        <w:t>          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В рамках развития и осуществления профилактической деятельности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на территориях сельских поселений Полтавского муниципального района Омской области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 202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1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году: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на официальном сайте в сети «Интернет»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информирование юридических лиц, индивидуальных предпринимателей по вопросам соблюдения обязательных требований, в том числе посредством, разъяснительной работы на официальном сайте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в сети «Интернет»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осуществлялось консультирование по вопросам соблюдения обязательных требований;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проводились плановые (рейдовые) осмотры, обследования земельных участков.</w:t>
      </w:r>
    </w:p>
    <w:p w:rsidR="00EF3DC9" w:rsidRPr="00EF3DC9" w:rsidRDefault="00EF3DC9" w:rsidP="00EF3DC9">
      <w:pPr>
        <w:spacing w:after="0" w:line="240" w:lineRule="auto"/>
        <w:ind w:firstLine="567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hanging="360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4.</w:t>
      </w:r>
      <w:r w:rsidRPr="00EF3DC9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Характеристика проблем, на решение которых направлена программа профилактики</w:t>
      </w:r>
    </w:p>
    <w:p w:rsidR="00EF3DC9" w:rsidRPr="00EF3DC9" w:rsidRDefault="00EF3DC9" w:rsidP="00EF3DC9">
      <w:pPr>
        <w:spacing w:after="0" w:line="240" w:lineRule="auto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4.1. Основными проблемами, на решение которых направлена настоящая программа, являются: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EF3DC9" w:rsidRPr="00EF3DC9" w:rsidRDefault="00EF3DC9" w:rsidP="00EF3DC9">
      <w:pPr>
        <w:spacing w:after="0" w:line="240" w:lineRule="auto"/>
        <w:ind w:firstLine="709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недополучение бюджетом </w:t>
      </w:r>
      <w:r w:rsidR="00272597">
        <w:rPr>
          <w:rFonts w:eastAsia="Times New Roman"/>
          <w:color w:val="000000"/>
          <w:sz w:val="26"/>
          <w:szCs w:val="26"/>
          <w:lang w:eastAsia="ru-RU"/>
        </w:rPr>
        <w:t>Полтавского муниципального района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денежных средств от оплаты земельного налога, арендных платежей за пользование земельными участками.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4.2.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II. Цели и задачи реализации программы профилактики</w:t>
      </w:r>
    </w:p>
    <w:p w:rsidR="00EF3DC9" w:rsidRPr="00EF3DC9" w:rsidRDefault="00EF3DC9" w:rsidP="00EF3DC9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5.1. Основными целями программы профилактики являются: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субъектами;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5.2. Проведение профилактических мероприятий программы профилактики направлено на решение следующих задач: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- укрепление </w:t>
      </w:r>
      <w:proofErr w:type="gramStart"/>
      <w:r w:rsidRPr="00EF3DC9">
        <w:rPr>
          <w:rFonts w:eastAsia="Times New Roman"/>
          <w:color w:val="000000"/>
          <w:sz w:val="26"/>
          <w:szCs w:val="26"/>
          <w:lang w:eastAsia="ru-RU"/>
        </w:rPr>
        <w:t>системы профилактики нарушений рисков причинения</w:t>
      </w:r>
      <w:proofErr w:type="gramEnd"/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 вреда (ущерба) охраняемым законом ценностям;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F3DC9" w:rsidRPr="00EF3DC9" w:rsidRDefault="00EF3DC9" w:rsidP="00EF3DC9">
      <w:pPr>
        <w:spacing w:after="0" w:line="240" w:lineRule="auto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66"/>
        <w:gridCol w:w="3372"/>
        <w:gridCol w:w="1969"/>
        <w:gridCol w:w="3511"/>
      </w:tblGrid>
      <w:tr w:rsidR="00EF3DC9" w:rsidRPr="00EF3DC9" w:rsidTr="00EF3DC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r w:rsidRPr="00EF3DC9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п/п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 xml:space="preserve">Срок </w:t>
            </w:r>
            <w:r w:rsidRPr="00EF3DC9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Ответственные исполнители</w:t>
            </w:r>
          </w:p>
        </w:tc>
      </w:tr>
      <w:tr w:rsidR="00EF3DC9" w:rsidRPr="00EF3DC9" w:rsidTr="00EF3D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Информирование</w:t>
            </w:r>
          </w:p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по вопросам соблюдения обязательных требований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03085F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Комитет имущественных отношений </w:t>
            </w:r>
          </w:p>
        </w:tc>
      </w:tr>
      <w:tr w:rsidR="00EF3DC9" w:rsidRPr="00EF3DC9" w:rsidTr="00EF3D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в течении года при наличии оснований, предусмотренных статьей 49 Закона                 № 248-ФЗ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03085F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</w:t>
            </w:r>
          </w:p>
        </w:tc>
      </w:tr>
      <w:tr w:rsidR="00EF3DC9" w:rsidRPr="00EF3DC9" w:rsidTr="00EF3DC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03085F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Комитет имущественных отношений</w:t>
            </w:r>
          </w:p>
        </w:tc>
      </w:tr>
    </w:tbl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6.1. Консультирование контролируемых лиц и (или) их представителей осуществляется инспектором, при обращении контролируемых лиц и (или) их представителей по вопросам, связанным с организацией и осуществлением муниципального земельного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 xml:space="preserve">6.2. Консультирование осуществляется без взимания платы и может осуществляться по телефону, посредством </w:t>
      </w:r>
      <w:proofErr w:type="spellStart"/>
      <w:r w:rsidRPr="00EF3DC9">
        <w:rPr>
          <w:rFonts w:eastAsia="Times New Roman"/>
          <w:color w:val="000000"/>
          <w:sz w:val="26"/>
          <w:szCs w:val="26"/>
          <w:lang w:eastAsia="ru-RU"/>
        </w:rPr>
        <w:t>видео-конференц-связи</w:t>
      </w:r>
      <w:proofErr w:type="spellEnd"/>
      <w:r w:rsidRPr="00EF3DC9">
        <w:rPr>
          <w:rFonts w:eastAsia="Times New Roman"/>
          <w:color w:val="000000"/>
          <w:sz w:val="26"/>
          <w:szCs w:val="26"/>
          <w:lang w:eastAsia="ru-RU"/>
        </w:rPr>
        <w:t>, на личном приеме, либо в ходе проведения профилактических мероприятий, контрольных мероприятий. Время консультирования не должно превышать 15 минут.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6.3. Информация о месте, инспекторах, проводящих личный прием, а также об установленных для приема днях и часах размещается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органом муниципального земельного контроля на официальном сайте Администрации.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6.4. Консультирование осуществляется по следующим вопросам: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1) организация и осуществление муниципального земельного контроля;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2) порядок осуществления профилактических, контрольных мероприятий, установленных Положением.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6.5. Консультирование в письменной форме осуществляется в следующих случаях: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2) за время, предусмотренное для консультации, предоставить ответ на поставленные вопросы не представляется возможным;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3) для подготовки ответа на поставленные вопросы необходимы дополнительные сведения, запрашиваемые в органах государственной власти или у иных лиц.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6.6. Если поставленные во время консультирования вопросы не относятся к сфере муниципального земельного контроля,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lastRenderedPageBreak/>
        <w:t>6.7.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6.8. В случае поступления в орган муниципального земельного контроля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Администрации письменного разъяснения, подписанного уполномоченным должностным лицом органа</w:t>
      </w:r>
      <w:r w:rsidRPr="00EF3DC9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EF3DC9">
        <w:rPr>
          <w:rFonts w:eastAsia="Times New Roman"/>
          <w:color w:val="000000"/>
          <w:sz w:val="26"/>
          <w:szCs w:val="26"/>
          <w:lang w:eastAsia="ru-RU"/>
        </w:rPr>
        <w:t>муниципального земельного контроля.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p w:rsidR="00EF3DC9" w:rsidRPr="00EF3DC9" w:rsidRDefault="00EF3DC9" w:rsidP="00EF3DC9">
      <w:pPr>
        <w:spacing w:after="0" w:line="240" w:lineRule="auto"/>
        <w:ind w:firstLine="709"/>
        <w:jc w:val="center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b/>
          <w:bCs/>
          <w:color w:val="000000"/>
          <w:sz w:val="26"/>
          <w:szCs w:val="26"/>
          <w:lang w:eastAsia="ru-RU"/>
        </w:rPr>
        <w:t>Раздел IV. Показатели результативности и эффективности программы профилактики</w:t>
      </w:r>
    </w:p>
    <w:p w:rsidR="00EF3DC9" w:rsidRPr="00EF3DC9" w:rsidRDefault="00EF3DC9" w:rsidP="00EF3DC9">
      <w:pPr>
        <w:spacing w:after="0" w:line="240" w:lineRule="auto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EF3DC9">
        <w:rPr>
          <w:rFonts w:eastAsia="Times New Roman"/>
          <w:color w:val="000000"/>
          <w:sz w:val="26"/>
          <w:szCs w:val="26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557"/>
      </w:tblGrid>
      <w:tr w:rsidR="00EF3DC9" w:rsidRPr="00EF3DC9" w:rsidTr="00EF3DC9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EF3DC9" w:rsidRPr="00EF3DC9" w:rsidTr="00EF3DC9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03085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03085F">
              <w:rPr>
                <w:rFonts w:eastAsia="Times New Roman"/>
                <w:sz w:val="24"/>
                <w:szCs w:val="24"/>
                <w:lang w:eastAsia="ru-RU"/>
              </w:rPr>
              <w:t>Уполномоченного органа</w:t>
            </w: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EF3DC9" w:rsidRPr="00EF3DC9" w:rsidTr="00EF3DC9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EF3DC9" w:rsidRPr="00EF3DC9" w:rsidTr="00EF3DC9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EF3DC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3DC9" w:rsidRPr="00EF3DC9" w:rsidRDefault="00EF3DC9" w:rsidP="0003085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не менее </w:t>
            </w:r>
            <w:r w:rsidR="0003085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EF3DC9">
              <w:rPr>
                <w:rFonts w:eastAsia="Times New Roman"/>
                <w:sz w:val="24"/>
                <w:szCs w:val="24"/>
                <w:lang w:eastAsia="ru-RU"/>
              </w:rPr>
              <w:t xml:space="preserve"> мероприятий, проведенных </w:t>
            </w:r>
            <w:r w:rsidR="0003085F">
              <w:rPr>
                <w:rFonts w:eastAsia="Times New Roman"/>
                <w:sz w:val="24"/>
                <w:szCs w:val="24"/>
                <w:lang w:eastAsia="ru-RU"/>
              </w:rPr>
              <w:t>Уполномоченным органом</w:t>
            </w:r>
          </w:p>
        </w:tc>
      </w:tr>
    </w:tbl>
    <w:p w:rsidR="00B913A5" w:rsidRDefault="00B913A5"/>
    <w:sectPr w:rsidR="00B913A5" w:rsidSect="00B9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3DC9"/>
    <w:rsid w:val="0003085F"/>
    <w:rsid w:val="001C4CE6"/>
    <w:rsid w:val="00272597"/>
    <w:rsid w:val="00334FD9"/>
    <w:rsid w:val="003D7AE0"/>
    <w:rsid w:val="004422A0"/>
    <w:rsid w:val="00543B1E"/>
    <w:rsid w:val="00646D95"/>
    <w:rsid w:val="006E331F"/>
    <w:rsid w:val="00785BC7"/>
    <w:rsid w:val="008631CB"/>
    <w:rsid w:val="008F6561"/>
    <w:rsid w:val="00B913A5"/>
    <w:rsid w:val="00D32B32"/>
    <w:rsid w:val="00E0606A"/>
    <w:rsid w:val="00E10BE5"/>
    <w:rsid w:val="00E87F7C"/>
    <w:rsid w:val="00ED573E"/>
    <w:rsid w:val="00EF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F7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F7C"/>
    <w:rPr>
      <w:color w:val="0000FF"/>
      <w:u w:val="single"/>
    </w:rPr>
  </w:style>
  <w:style w:type="paragraph" w:customStyle="1" w:styleId="ConsPlusNormal">
    <w:name w:val="ConsPlusNormal"/>
    <w:uiPriority w:val="99"/>
    <w:rsid w:val="008F656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2213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75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91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26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90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1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2021-09-29T11:14:00Z</dcterms:created>
  <dcterms:modified xsi:type="dcterms:W3CDTF">2021-09-30T05:46:00Z</dcterms:modified>
</cp:coreProperties>
</file>