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  результатам оценки эффективности реализации муниципальной подпрограммы </w:t>
      </w:r>
      <w:r>
        <w:rPr>
          <w:rFonts w:eastAsia="Times New Roman" w:cs="Times New Roman" w:ascii="Times New Roman" w:hAnsi="Times New Roman"/>
          <w:b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районе»,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«Экономическое развитие Полтавского муниципального района» за 2021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Подпрограмма «Борьба с преступностью, профилактика преступлений и нарушений, обеспечение безопасности дорожного движения в Полтавском муниципальном районе» направлена на создание благоприятных условий для экономического развития Полтавского муниципального района.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Целью программы является: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Формирование условий для комплексного решений проблем с преступностью и профилактики преступлений и правонарушений на территории Полтавского муниципального района.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 xml:space="preserve">В целом эффективность реализации  подпрограммы «Борьба с преступностью, профилактика преступлений и нарушений, обеспечение безопасности дорожного </w:t>
      </w:r>
      <w:r>
        <w:rPr>
          <w:rFonts w:eastAsia="Times New Roman" w:cs="Times New Roman" w:ascii="Times New Roman" w:hAnsi="Times New Roman"/>
        </w:rPr>
        <w:t xml:space="preserve">движения в Полтавском муниципальном районе» за 2021 год составила   100 %. </w:t>
      </w:r>
      <w:r>
        <w:rPr>
          <w:rFonts w:cs="Times New Roman" w:ascii="Times New Roman" w:hAnsi="Times New Roman" w:eastAsiaTheme="minorEastAsia"/>
          <w:sz w:val="24"/>
          <w:szCs w:val="24"/>
        </w:rPr>
        <w:t xml:space="preserve">выполнение </w:t>
      </w:r>
      <w:r>
        <w:rPr>
          <w:rStyle w:val="FontStyle11"/>
          <w:rFonts w:asciiTheme="minorHAnsi" w:cstheme="minorBidi" w:eastAsiaTheme="minorEastAsia" w:hAnsiTheme="minorHAnsi"/>
          <w:b w:val="false"/>
          <w:sz w:val="24"/>
          <w:szCs w:val="24"/>
        </w:rPr>
        <w:t>муниципальной</w:t>
      </w:r>
      <w:r>
        <w:rPr>
          <w:rFonts w:cs="Times New Roman" w:ascii="Times New Roman" w:hAnsi="Times New Roman" w:eastAsiaTheme="minorEastAsia"/>
          <w:b/>
          <w:sz w:val="24"/>
          <w:szCs w:val="24"/>
        </w:rPr>
        <w:t xml:space="preserve"> </w:t>
      </w:r>
      <w:r>
        <w:rPr>
          <w:rFonts w:cs="Times New Roman" w:ascii="Times New Roman" w:hAnsi="Times New Roman" w:eastAsiaTheme="minorEastAsia"/>
          <w:sz w:val="24"/>
          <w:szCs w:val="24"/>
        </w:rPr>
        <w:t>программы обеспечено на уровне запланированных показателей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- дальнейшая реализация программы целесообразна.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Расчет оценки эффективности реализации  подпрограммы </w:t>
      </w:r>
      <w:r>
        <w:rPr>
          <w:rFonts w:eastAsia="Times New Roman" w:cs="Times New Roman" w:ascii="Times New Roman" w:hAnsi="Times New Roman"/>
          <w:b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районе», 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</w:t>
      </w:r>
    </w:p>
    <w:p>
      <w:pPr>
        <w:pStyle w:val="NoSpacing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Эффективность подпрограммы:</w:t>
      </w:r>
      <w:r>
        <w:rPr>
          <w:rFonts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 </w:t>
      </w:r>
      <w:r>
        <w:rPr>
          <w:rFonts w:cs="Times New Roman" w:ascii="Times New Roman" w:hAnsi="Times New Roman"/>
        </w:rPr>
        <w:t xml:space="preserve"> = (100+100)/2=100 %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реализации основного мероприятия: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eastAsia="Times New Roman" w:cs="Times New Roman" w:ascii="Times New Roman" w:hAnsi="Times New Roman"/>
        </w:rPr>
        <w:t>«</w:t>
      </w:r>
      <w:r>
        <w:rPr>
          <w:rFonts w:cs="Times New Roman" w:ascii="Times New Roman" w:hAnsi="Times New Roman"/>
        </w:rPr>
        <w:t>Обеспечение участия детей в районных и областных массовых мероприятиях (конкурс-фестиваль "Безопасное колесо") и областных мероприятий по профилактике и пропаганде безопасного дорожного  движения</w:t>
      </w:r>
      <w:r>
        <w:rPr>
          <w:rFonts w:eastAsia="Times New Roman" w:cs="Times New Roman" w:ascii="Times New Roman" w:hAnsi="Times New Roman"/>
        </w:rPr>
        <w:t>»</w:t>
      </w:r>
      <w:r>
        <w:rPr>
          <w:rFonts w:eastAsia="Times New Roman" w:cs="Times New Roman" w:ascii="Times New Roman" w:hAnsi="Times New Roman"/>
          <w:color w:val="000000"/>
        </w:rPr>
        <w:t xml:space="preserve"> =1,0+1,0/2*100%=100%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eastAsia="Times New Roman" w:cs="Times New Roman" w:ascii="Times New Roman" w:hAnsi="Times New Roman"/>
          <w:color w:val="000000"/>
        </w:rPr>
        <w:t>- «Организация и осуществление мероприятий по раб</w:t>
      </w:r>
      <w:r>
        <w:rPr>
          <w:rFonts w:eastAsia="Times New Roman" w:cs="Times New Roman" w:ascii="Times New Roman" w:hAnsi="Times New Roman"/>
        </w:rPr>
        <w:t>оте с детьми  и молодежью» = 1,0+1,0+1,0/3*100%=100%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расчета  мероприятия: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Организация и проведение слетов, соревнований "Школа безопасности", "Безопасное колесо", "Орлята России" обучающихся в муниципальных образовательных учреждениях общего образования и участие в областном этапе =1,0/1,0=1</w:t>
      </w:r>
    </w:p>
    <w:p>
      <w:pPr>
        <w:pStyle w:val="NoSpacing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О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рганизация и проведение соревнований по безопасности дорожного движения, изготовление наглядной и (банерной) продукции по агитации за соблюдением  безопасности дорожного движения  =1,0/1,0=1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-Организация и осуществление мероприятий по работе с детьми и молодежью в каникулярное время =1,0/1,0=1</w:t>
      </w:r>
    </w:p>
    <w:p>
      <w:pPr>
        <w:pStyle w:val="NoSpacing"/>
        <w:jc w:val="both"/>
        <w:rPr>
          <w:rFonts w:ascii="Times New Roman" w:hAnsi="Times New Roman" w:eastAsia="" w:cs="Times New Roman" w:eastAsiaTheme="minorEastAsia"/>
          <w:color w:val="auto"/>
          <w:kern w:val="0"/>
          <w:sz w:val="22"/>
          <w:szCs w:val="22"/>
          <w:lang w:val="ru-RU" w:eastAsia="ru-RU" w:bidi="ar-SA"/>
        </w:rPr>
      </w:pPr>
      <w:r>
        <w:rPr>
          <w:rFonts w:eastAsia="" w:cs="Times New Roman" w:ascii="Times New Roman" w:hAnsi="Times New Roman" w:eastAsiaTheme="minorEastAsia"/>
          <w:color w:val="auto"/>
          <w:kern w:val="0"/>
          <w:sz w:val="22"/>
          <w:szCs w:val="22"/>
          <w:lang w:val="ru-RU" w:eastAsia="ru-RU" w:bidi="ar-SA"/>
        </w:rPr>
        <w:t xml:space="preserve">- </w:t>
      </w:r>
      <w:r>
        <w:rPr>
          <w:rFonts w:eastAsia="" w:cs="Times New Roman" w:ascii="Times New Roman" w:hAnsi="Times New Roman" w:eastAsiaTheme="minorEastAsia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m w:val="none"/>
          <w:lang w:val="ru-RU" w:eastAsia="ru-RU" w:bidi="ar-SA"/>
        </w:rPr>
        <w:t>Подготовка стационарных муниципальных детских оздоровительных лагерей =1,0/1,0=1</w:t>
      </w:r>
    </w:p>
    <w:p>
      <w:pPr>
        <w:pStyle w:val="Normal"/>
        <w:jc w:val="both"/>
        <w:rPr/>
      </w:pPr>
      <w:r>
        <w:rPr>
          <w:rFonts w:eastAsia="" w:cs="Times New Roman" w:ascii="Times New Roman" w:hAnsi="Times New Roman" w:eastAsiaTheme="minorEastAsia"/>
          <w:color w:val="auto"/>
          <w:kern w:val="0"/>
          <w:sz w:val="22"/>
          <w:szCs w:val="22"/>
          <w:lang w:val="ru-RU" w:eastAsia="ru-RU" w:bidi="ar-SA"/>
        </w:rPr>
        <w:t xml:space="preserve">- </w:t>
      </w:r>
      <w:r>
        <w:rPr>
          <w:rFonts w:eastAsia="" w:cs="Times New Roman" w:ascii="Times New Roman" w:hAnsi="Times New Roman" w:eastAsiaTheme="minorEastAsia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m w:val="none"/>
          <w:lang w:val="ru-RU" w:eastAsia="ru-RU" w:bidi="ar-SA"/>
        </w:rPr>
        <w:t>Подготовка стационарных муниципальных детских оздоровительных лагерей Полтавский муниципальный район1,0/1,0=1,0</w:t>
      </w:r>
    </w:p>
    <w:p>
      <w:pPr>
        <w:pStyle w:val="Normal"/>
        <w:jc w:val="both"/>
        <w:rPr/>
      </w:pPr>
      <w:r>
        <w:rPr>
          <w:rFonts w:eastAsia="" w:cs="Times New Roman" w:ascii="Times New Roman" w:hAnsi="Times New Roman" w:eastAsiaTheme="minorEastAsia"/>
          <w:b/>
          <w:highlight w:val="white"/>
        </w:rPr>
        <w:t>Степень достижения значения целевого индикатора:</w:t>
      </w:r>
    </w:p>
    <w:p>
      <w:pPr>
        <w:pStyle w:val="Normal"/>
        <w:jc w:val="both"/>
        <w:rPr/>
      </w:pPr>
      <w:r>
        <w:rPr>
          <w:rFonts w:eastAsia="" w:cs="Times New Roman" w:ascii="Times New Roman" w:hAnsi="Times New Roman" w:eastAsiaTheme="minorEastAsia"/>
          <w:b/>
          <w:highlight w:val="white"/>
        </w:rPr>
        <w:t xml:space="preserve">- </w:t>
      </w:r>
      <w:r>
        <w:rPr>
          <w:rFonts w:cs="Times New Roman" w:ascii="Times New Roman" w:hAnsi="Times New Roman"/>
        </w:rPr>
        <w:t xml:space="preserve"> Увеличение удельного веса численности молодых людей в возрасте от 14 до 30 лет, принимающих участие в добровольческой деятельности в общей численности молодежи в возрасте от 14 до 30 лет =17/17=1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 Доля образовательных учреждений, в которых созданы отряды юных инспекторов движения, из числа общих образовательных учреждений =100/100=1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Доля учащихся привлеченных к участию в пропаганде правил безопасного поведения на дорогах и улицах =60/60=1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</w:t>
      </w:r>
      <w:r>
        <w:rPr>
          <w:rFonts w:eastAsia="" w:cs="Times New Roman" w:ascii="Times New Roman" w:hAnsi="Times New Roman" w:eastAsiaTheme="minorEastAsia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m w:val="none"/>
          <w:lang w:val="ru-RU" w:eastAsia="ru-RU" w:bidi="ar-SA"/>
        </w:rPr>
        <w:t>Наличие факта выполненных работ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  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65 до 18 лет, проживающих на территории Омской области =0,61/0,61=1,0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- Количество стационарных детских оздоровительных лагерей, открытых в установленном порядке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 xml:space="preserve">-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em w:val="none"/>
        </w:rPr>
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 =100/100=1,0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em w:val="none"/>
        </w:rPr>
        <w:t>- 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  =100/100=1,0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Расчет уровня финансового обеспечения мероприятий: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 =55700,00/55700,00=1,0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Мероприятия по обеспечению безопасности общественного порядка 718600,07/718600,07=1,0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-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Н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а изготовление и распространение цветных буклетов (брошюр) и календарей с иллюстрацией схем телефонных мошенничеств 4850,00/4850,00=1,0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Реализация краткосрочного наставничества детей сирот, детей оставшихся без попечения родителей  =2100,00/2100,00=1,0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Организация и проведение слетов, соревнований "Школа безопасности", "Безопасное колесо", "Орлята России" обучающихся в муниципальных образовательных учреждениях общего образования и участие в областном этапе =44472,08/44472,08=1,0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О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рганизация и проведение соревнований по безопасности дорожного движения, изготовление наглядной и (банерной) продукции по агитации за соблюдением  безопасности дорожного движения 9099,34/9099,34=1,0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Ремонт и содержание дорог Полтавского муниципального района Омской области = 1737730,00/1149440,47=1,5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Организация и осуществление мероприятий по работе с детьми и молодежью в каникулярное время =4259176,00/4259176,00=1,0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Софинансирование на организацию и осуществление мероприятий по работе с детьми и молодежью в каникулярное время =43021,98/43021,98=1,0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Подготовка стационарных муниципальных детских оздоровительных лагерей 6060,61/6060,61=1,0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Подготовка стационарных муниципальных детских оздоровительных лагерей Полтавский муниципальный район = 600000,00/600000,00=1,0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З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ащита населения и территории от чрезвычайных ситуаций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15"/>
          <w:u w:val="none"/>
          <w:em w:val="none"/>
        </w:rPr>
        <w:t xml:space="preserve"> </w:t>
      </w:r>
      <w:r>
        <w:rPr>
          <w:rFonts w:cs="Times New Roman" w:ascii="Times New Roman" w:hAnsi="Times New Roman"/>
        </w:rPr>
        <w:t>=36000,00/36000,00=1,0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left"/>
        <w:rPr/>
      </w:pPr>
      <w:r>
        <w:rPr>
          <w:rFonts w:cs="Times New Roman" w:ascii="Times New Roman" w:hAnsi="Times New Roman"/>
        </w:rPr>
        <w:t xml:space="preserve">Начальник Управления архитектуры, </w:t>
      </w:r>
    </w:p>
    <w:p>
      <w:pPr>
        <w:pStyle w:val="NoSpacing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строительства и жизнеобеспечения                                                                                      Д.В.Конюхов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Представитель комитета образования                                                                                  Н.К.Дедкова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Директор КУ«ЦДМФКС»                                                                                                      Э.В.Ищак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character" w:styleId="FontStyle11" w:customStyle="1">
    <w:name w:val="Font Style11"/>
    <w:basedOn w:val="DefaultParagraphFont"/>
    <w:qFormat/>
    <w:rsid w:val="001a32c7"/>
    <w:rPr>
      <w:rFonts w:ascii="Times New Roman" w:hAnsi="Times New Roman" w:cs="Times New Roman"/>
      <w:b/>
      <w:bCs/>
      <w:sz w:val="22"/>
      <w:szCs w:val="22"/>
    </w:rPr>
  </w:style>
  <w:style w:type="character" w:styleId="FontStyle13">
    <w:name w:val="Font Style13"/>
    <w:qFormat/>
    <w:rPr>
      <w:rFonts w:ascii="Times New Roman" w:hAnsi="Times New Roman" w:eastAsia="Times New Roman"/>
      <w:sz w:val="22"/>
      <w:szCs w:val="22"/>
    </w:rPr>
  </w:style>
  <w:style w:type="character" w:styleId="FontStyle12">
    <w:name w:val="Font Style12"/>
    <w:qFormat/>
    <w:rPr>
      <w:rFonts w:ascii="Times New Roman" w:hAnsi="Times New Roman" w:eastAsia="Times New Roman"/>
      <w:i/>
      <w:iCs/>
      <w:sz w:val="22"/>
      <w:szCs w:val="22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a0593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a0593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6">
    <w:name w:val="Style2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/>
    </w:rPr>
  </w:style>
  <w:style w:type="paragraph" w:styleId="Style110">
    <w:name w:val="Style1"/>
    <w:basedOn w:val="Normal"/>
    <w:qFormat/>
    <w:pPr>
      <w:widowControl w:val="false"/>
      <w:spacing w:lineRule="exact" w:line="275" w:before="0" w:after="0"/>
      <w:jc w:val="both"/>
    </w:pPr>
    <w:rPr>
      <w:rFonts w:ascii="Times New Roman" w:hAnsi="Times New Roman" w:eastAsia="Times New Roman"/>
    </w:rPr>
  </w:style>
  <w:style w:type="paragraph" w:styleId="Style81">
    <w:name w:val="Style8"/>
    <w:basedOn w:val="Normal"/>
    <w:qFormat/>
    <w:pPr>
      <w:widowControl w:val="false"/>
      <w:spacing w:lineRule="exact" w:line="278" w:before="0" w:after="0"/>
      <w:jc w:val="both"/>
    </w:pPr>
    <w:rPr>
      <w:rFonts w:ascii="Times New Roman" w:hAnsi="Times New Roman" w:eastAsia="Times New Roman"/>
    </w:rPr>
  </w:style>
  <w:style w:type="paragraph" w:styleId="Style71">
    <w:name w:val="Style7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/>
    </w:rPr>
  </w:style>
  <w:style w:type="paragraph" w:styleId="Style51">
    <w:name w:val="Style5"/>
    <w:basedOn w:val="Normal"/>
    <w:qFormat/>
    <w:pPr>
      <w:widowControl w:val="false"/>
      <w:spacing w:lineRule="exact" w:line="278" w:before="0" w:after="0"/>
      <w:ind w:firstLine="715"/>
    </w:pPr>
    <w:rPr>
      <w:rFonts w:ascii="Times New Roman" w:hAnsi="Times New Roman" w:eastAsia="Times New Roman"/>
    </w:rPr>
  </w:style>
  <w:style w:type="paragraph" w:styleId="Style41">
    <w:name w:val="Style4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/>
    </w:rPr>
  </w:style>
  <w:style w:type="paragraph" w:styleId="Style31">
    <w:name w:val="Style3"/>
    <w:basedOn w:val="Normal"/>
    <w:qFormat/>
    <w:pPr>
      <w:widowControl w:val="false"/>
      <w:spacing w:lineRule="exact" w:line="274" w:before="0" w:after="0"/>
      <w:ind w:firstLine="528"/>
    </w:pPr>
    <w:rPr>
      <w:rFonts w:ascii="Times New Roman" w:hAnsi="Times New Roman" w:eastAsia="Times New Roman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Liberation Serif"/>
      <w:color w:val="auto"/>
      <w:kern w:val="2"/>
      <w:sz w:val="24"/>
      <w:szCs w:val="24"/>
      <w:lang w:val="en-US" w:eastAsia="en-US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Courier New" w:cs="Liberation Serif"/>
      <w:color w:val="00000A"/>
      <w:kern w:val="2"/>
      <w:sz w:val="24"/>
      <w:szCs w:val="20"/>
      <w:lang w:val="ru-RU" w:eastAsia="hi-I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0FB8-9203-4A6E-83BE-1A443B2E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Application>LibreOffice/6.4.7.2$Linux_X86_64 LibreOffice_project/40$Build-2</Application>
  <Pages>2</Pages>
  <Words>692</Words>
  <Characters>5420</Characters>
  <CharactersWithSpaces>6370</CharactersWithSpaces>
  <Paragraphs>43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Лобач</dc:creator>
  <dc:description/>
  <dc:language>ru-RU</dc:language>
  <cp:lastModifiedBy/>
  <dcterms:modified xsi:type="dcterms:W3CDTF">2022-06-14T08:59:56Z</dcterms:modified>
  <cp:revision>121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