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Пояснительная записка 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к отчету о результатах проведенной оценки эффективности реализации муниципальной подпрограммы </w:t>
      </w:r>
      <w:r>
        <w:rPr>
          <w:rFonts w:eastAsia="Times New Roman" w:cs="Times New Roman" w:ascii="Times New Roman" w:hAnsi="Times New Roman"/>
          <w:b/>
        </w:rPr>
        <w:t xml:space="preserve">«Формирование и эффективное управление собственностью муниципального района», </w:t>
      </w:r>
      <w:r>
        <w:rPr>
          <w:rFonts w:cs="Times New Roman" w:ascii="Times New Roman" w:hAnsi="Times New Roman"/>
          <w:b/>
          <w:sz w:val="24"/>
          <w:szCs w:val="24"/>
        </w:rPr>
        <w:t xml:space="preserve"> муниципальной программы «Экономического развития Полтавского муниципального района» за 2021 год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Целью программы является формирование и эффективное управление собственностью   муниципального района.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 </w:t>
      </w:r>
      <w:r>
        <w:rPr>
          <w:rFonts w:eastAsia="Times New Roman" w:cs="Times New Roman" w:ascii="Times New Roman" w:hAnsi="Times New Roman"/>
        </w:rPr>
        <w:t xml:space="preserve">В целом эффективность реализации  подпрограммы </w:t>
      </w:r>
      <w:r>
        <w:rPr>
          <w:rFonts w:eastAsia="Times New Roman" w:cs="Times New Roman" w:ascii="Times New Roman" w:hAnsi="Times New Roman"/>
        </w:rPr>
        <w:t xml:space="preserve">«Формирование и эффективное управление собственностью муниципального района»  за 2021 год составила   100 %. </w:t>
      </w:r>
    </w:p>
    <w:p>
      <w:pPr>
        <w:pStyle w:val="NoSpacing"/>
        <w:ind w:firstLine="708"/>
        <w:jc w:val="both"/>
        <w:rPr>
          <w:rFonts w:asciiTheme="minorHAnsi" w:cstheme="minorBidi" w:eastAsiaTheme="minorEastAsia" w:hAnsiTheme="minorHAnsi"/>
        </w:rPr>
      </w:pPr>
      <w:r>
        <w:rPr>
          <w:rFonts w:eastAsia="Times New Roman" w:cs="Times New Roman" w:ascii="Times New Roman" w:hAnsi="Times New Roman"/>
        </w:rPr>
        <w:t>Выполнение муниципальной программы обеспечено на уровне запланированных показателей - дальнейшая реализация программы целесообразна.</w:t>
      </w:r>
    </w:p>
    <w:p>
      <w:pPr>
        <w:pStyle w:val="NoSpacing"/>
        <w:jc w:val="center"/>
        <w:rPr>
          <w:rFonts w:asciiTheme="minorHAnsi" w:cstheme="minorBidi" w:eastAsiaTheme="minorEastAsia" w:hAnsiTheme="minorHAnsi"/>
        </w:rPr>
      </w:pPr>
      <w:r>
        <w:rPr>
          <w:rFonts w:cs="Times New Roman" w:eastAsiaTheme="minorEastAsia" w:ascii="Times New Roman" w:hAnsi="Times New Roman"/>
          <w:b/>
          <w:sz w:val="24"/>
          <w:szCs w:val="24"/>
        </w:rPr>
        <w:t xml:space="preserve">Расчет оценки эффективности реализации  подпрограммы </w:t>
      </w:r>
      <w:r>
        <w:rPr>
          <w:rFonts w:eastAsia="Times New Roman" w:cs="Times New Roman" w:ascii="Times New Roman" w:hAnsi="Times New Roman"/>
          <w:b/>
        </w:rPr>
        <w:t xml:space="preserve">«Формирование и эффективное управление собственностью муниципального района»,  </w:t>
      </w:r>
      <w:r>
        <w:rPr>
          <w:rFonts w:cs="Times New Roman" w:eastAsiaTheme="minorEastAsia" w:ascii="Times New Roman" w:hAnsi="Times New Roman"/>
          <w:b/>
          <w:sz w:val="24"/>
          <w:szCs w:val="24"/>
        </w:rPr>
        <w:t xml:space="preserve"> муниципальной программы «Экономического развития Полтавского муниципального района»</w:t>
      </w:r>
    </w:p>
    <w:p>
      <w:pPr>
        <w:pStyle w:val="NoSpacing"/>
        <w:jc w:val="center"/>
        <w:rPr>
          <w:rFonts w:ascii="Times New Roman" w:hAnsi="Times New Roman" w:cs="Times New Roman" w:eastAsiaTheme="minorEastAsia"/>
          <w:b/>
          <w:b/>
        </w:rPr>
      </w:pPr>
      <w:r>
        <w:rPr>
          <w:rFonts w:cs="Times New Roman" w:eastAsiaTheme="minorEastAsia" w:ascii="Times New Roman" w:hAnsi="Times New Roman"/>
          <w:b/>
        </w:rPr>
      </w:r>
    </w:p>
    <w:p>
      <w:pPr>
        <w:pStyle w:val="Normal"/>
        <w:spacing w:lineRule="auto" w:line="240" w:before="0" w:after="0"/>
        <w:jc w:val="both"/>
        <w:rPr>
          <w:rFonts w:asciiTheme="minorHAnsi" w:cstheme="minorBidi" w:eastAsiaTheme="minorEastAsia" w:hAnsiTheme="minorHAnsi"/>
        </w:rPr>
      </w:pPr>
      <w:r>
        <w:rPr>
          <w:rFonts w:cs="Times New Roman" w:eastAsiaTheme="minorEastAsia" w:ascii="Times New Roman" w:hAnsi="Times New Roman"/>
          <w:b/>
        </w:rPr>
        <w:t>Эффективность подпрограммы:</w:t>
      </w:r>
      <w:r>
        <w:rPr>
          <w:rFonts w:cs="Times New Roman" w:eastAsiaTheme="minorEastAsia" w:ascii="Times New Roman" w:hAnsi="Times New Roman"/>
        </w:rPr>
        <w:t xml:space="preserve">  </w:t>
      </w:r>
      <w:r>
        <w:rPr>
          <w:rFonts w:eastAsia="Times New Roman" w:cs="Times New Roman" w:ascii="Times New Roman" w:hAnsi="Times New Roman"/>
        </w:rPr>
        <w:t>«Формирование и эффективное управление собственностью муниципального района »</w:t>
      </w:r>
      <w:r>
        <w:rPr>
          <w:rFonts w:cs="Times New Roman" w:eastAsiaTheme="minorEastAsia" w:ascii="Times New Roman" w:hAnsi="Times New Roman"/>
        </w:rPr>
        <w:t xml:space="preserve"> = (100+100+100)/3=100 %</w:t>
      </w:r>
    </w:p>
    <w:p>
      <w:pPr>
        <w:pStyle w:val="Normal"/>
        <w:spacing w:lineRule="auto" w:line="240" w:before="0" w:after="0"/>
        <w:jc w:val="both"/>
        <w:rPr>
          <w:rFonts w:asciiTheme="minorHAnsi" w:cstheme="minorBidi" w:eastAsiaTheme="minorEastAsia" w:hAnsiTheme="minorHAnsi"/>
        </w:rPr>
      </w:pPr>
      <w:r>
        <w:rPr>
          <w:rFonts w:cs="Times New Roman" w:eastAsiaTheme="minorEastAsia" w:ascii="Times New Roman" w:hAnsi="Times New Roman"/>
          <w:b/>
        </w:rPr>
        <w:t>Эффективность реализации основного мероприятия:</w:t>
      </w:r>
    </w:p>
    <w:p>
      <w:pPr>
        <w:pStyle w:val="Normal"/>
        <w:spacing w:lineRule="auto" w:line="240" w:before="0" w:after="0"/>
        <w:jc w:val="both"/>
        <w:rPr>
          <w:rFonts w:asciiTheme="minorHAnsi" w:cstheme="minorBidi" w:eastAsiaTheme="minorEastAsia" w:hAnsiTheme="minorHAnsi"/>
        </w:rPr>
      </w:pPr>
      <w:r>
        <w:rPr>
          <w:rFonts w:cs="Times New Roman" w:eastAsiaTheme="minorEastAsia" w:ascii="Times New Roman" w:hAnsi="Times New Roman"/>
          <w:b/>
        </w:rPr>
        <w:t xml:space="preserve">- </w:t>
      </w:r>
      <w:r>
        <w:rPr>
          <w:rFonts w:eastAsia="Times New Roman" w:cs="Times New Roman" w:ascii="Times New Roman" w:hAnsi="Times New Roman"/>
        </w:rPr>
        <w:t>«</w:t>
      </w:r>
      <w:r>
        <w:rPr>
          <w:rFonts w:cs="Times New Roman" w:eastAsiaTheme="minorEastAsia" w:ascii="Times New Roman" w:hAnsi="Times New Roman"/>
        </w:rPr>
        <w:t>Повышение эффективного использования земельных участков</w:t>
      </w:r>
      <w:r>
        <w:rPr>
          <w:rFonts w:eastAsia="Times New Roman" w:cs="Times New Roman" w:ascii="Times New Roman" w:hAnsi="Times New Roman"/>
        </w:rPr>
        <w:t xml:space="preserve"> »=1/1*100=100%</w:t>
      </w:r>
    </w:p>
    <w:p>
      <w:pPr>
        <w:pStyle w:val="Normal"/>
        <w:spacing w:lineRule="auto" w:line="240" w:before="0" w:after="0"/>
        <w:jc w:val="both"/>
        <w:rPr>
          <w:rFonts w:asciiTheme="minorHAnsi" w:cstheme="minorBidi" w:eastAsiaTheme="minorEastAsia" w:hAnsiTheme="minorHAnsi"/>
        </w:rPr>
      </w:pPr>
      <w:r>
        <w:rPr>
          <w:rFonts w:cs="Times New Roman" w:eastAsiaTheme="minorEastAsia" w:ascii="Times New Roman" w:hAnsi="Times New Roman"/>
          <w:b/>
        </w:rPr>
        <w:t xml:space="preserve">- </w:t>
      </w:r>
      <w:r>
        <w:rPr>
          <w:rFonts w:eastAsia="Times New Roman" w:cs="Times New Roman" w:ascii="Times New Roman" w:hAnsi="Times New Roman"/>
        </w:rPr>
        <w:t>«</w:t>
      </w:r>
      <w:r>
        <w:rPr>
          <w:rFonts w:cs="Times New Roman" w:eastAsiaTheme="minorEastAsia" w:ascii="Times New Roman" w:hAnsi="Times New Roman"/>
        </w:rPr>
        <w:t>Повышение эффективного использования объектов недвижимого имущества (кроме земельных участков)</w:t>
      </w:r>
      <w:r>
        <w:rPr>
          <w:rFonts w:eastAsia="Times New Roman" w:cs="Times New Roman" w:ascii="Times New Roman" w:hAnsi="Times New Roman"/>
        </w:rPr>
        <w:t xml:space="preserve"> » =1/1*100=100%</w:t>
      </w:r>
    </w:p>
    <w:p>
      <w:pPr>
        <w:pStyle w:val="Normal"/>
        <w:spacing w:lineRule="auto" w:line="240" w:before="0" w:after="0"/>
        <w:jc w:val="both"/>
        <w:rPr>
          <w:rFonts w:asciiTheme="minorHAnsi" w:cstheme="minorBidi" w:eastAsiaTheme="minorEastAsia" w:hAnsiTheme="minorHAnsi"/>
        </w:rPr>
      </w:pPr>
      <w:r>
        <w:rPr>
          <w:rFonts w:eastAsia="Times New Roman" w:cs="Times New Roman" w:ascii="Times New Roman" w:hAnsi="Times New Roman"/>
        </w:rPr>
        <w:t>- «</w:t>
      </w:r>
      <w:r>
        <w:rPr>
          <w:rFonts w:cs="Times New Roman" w:eastAsiaTheme="minorEastAsia" w:ascii="Times New Roman" w:hAnsi="Times New Roman"/>
        </w:rPr>
        <w:t>Пополнение бюджета в виде доходов от использования и продажи муниципального имущества</w:t>
      </w:r>
      <w:r>
        <w:rPr>
          <w:rFonts w:eastAsia="Times New Roman" w:cs="Times New Roman" w:ascii="Times New Roman" w:hAnsi="Times New Roman"/>
        </w:rPr>
        <w:t>» =(1+1)/2*100=100%</w:t>
      </w:r>
    </w:p>
    <w:p>
      <w:pPr>
        <w:pStyle w:val="NoSpacing"/>
        <w:jc w:val="both"/>
        <w:rPr>
          <w:rFonts w:asciiTheme="minorHAnsi" w:cstheme="minorBidi" w:eastAsiaTheme="minorEastAsia" w:hAnsiTheme="minorHAnsi"/>
        </w:rPr>
      </w:pPr>
      <w:r>
        <w:rPr>
          <w:rFonts w:cs="Times New Roman" w:eastAsiaTheme="minorEastAsia" w:ascii="Times New Roman" w:hAnsi="Times New Roman"/>
          <w:b/>
        </w:rPr>
        <w:t>Эффективность расчета  мероприятия: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 «Оформление кадастровой документации на объекты недвижимости» 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«Проведение оценки рыночной стоимости права собственности (арендной платы) на земельные участки, вовлекаемые в сделки» 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«Проведение оценки рыночной стоимости права собственности (арендной платы) объектов собственности муниципального района (кроме земельных участков), вовлекаемых в сделки» =1/1=1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b/>
        </w:rPr>
        <w:t>Степень достижения значения целевого индикатора: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- </w:t>
      </w:r>
      <w:r>
        <w:rPr>
          <w:rFonts w:cs="Times New Roman" w:ascii="Times New Roman" w:hAnsi="Times New Roman"/>
        </w:rPr>
        <w:t>мероприятия «Оформление кадастровой документации на объекты недвижимости»: Количество межевых планов на земельные участки, государственная собственность на которые не разграничена =4/4 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мероприятия «Проведение оценки рыночной стоимости права собственности (арендной платы) на земельные участки, вовлекаемые в сделки»: Количество объектов недвижимости (земельных участков, государственная собственность на которые не разграничена, земельных участков, находящихся в муниципальной собственности) в отношении которых проведена оценка рыночной стоимости права собственности (арендной платы)= 8/8=1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 мероприятия «Проведение оценки рыночной стоимости права собственности (арендной платы) объектов собственности муниципального района (кроме земельных участков), вовлекаемых в сделки»: Количество объектов собственности муниципального района (за исключением земельных участков), в отношении которых проведена оценка рыночной стоимости права собственности (арендной платы)=9/9=1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Расчет уровня финансового обеспечения мероприятий: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- </w:t>
      </w:r>
      <w:r>
        <w:rPr>
          <w:rFonts w:cs="Times New Roman" w:ascii="Times New Roman" w:hAnsi="Times New Roman"/>
        </w:rPr>
        <w:t>Оформление кадастровой документации на объекты недвижимости =29600,00/29600,00=1,0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 Услуги web-сервиса по подготовке и направлении документов в электронном виде для осуществления постановки на кадастровый учёт=28900,00/28900,00=1,0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-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Иные межбюджетные трансферты бюджетам поселений в соответствии с заключенными соглашениями по организацию в границах поселения принятия решений и проведение на территории поселения мероприятий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 в пределах полномочий, установленных законодательством Российской Федерации =  21664,00/21664,00=1,0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Мероприятия по проведению уведомительно - претензионной работе=25000/24968,00=1,0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Проведение оценки рыночной стоимости права собственности (арендной платы) на земельные участки, вовлекаемые в сделки = 27200,00/27200= 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Проведение оценки рыночной стоимости права собственности (арендной платы) объектов собственности муниципального района (кроме земельных участков), вовлекаемых в сделки = 20500,00/20500,00= 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Ремонт здания находящегося в муниципальной собственности=250000,00/250000,00=1,0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Руководство и управление в сфере установленных функций органов местного самоуправления Полтавского муниципального района = 2781524,65 /2781524,65 =1,0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-  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 xml:space="preserve">Поощрение муниципальной управленческой команды Омской области за достижение Омской областью значений (уровней) показателей для оценки эффективности деятельности, установленных постановлением Правительства Российской Федерации от 8 июня 2021 года № 873 "О поощрении субъектов Российской Федерации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 в 2021 году" </w:t>
      </w:r>
      <w:r>
        <w:rPr>
          <w:rFonts w:cs="Times New Roman" w:ascii="Times New Roman" w:hAnsi="Times New Roman"/>
        </w:rPr>
        <w:t>=83024,99 / 83024,99=1,0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Представитель комитета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имущественных отношений                                                    __________________    Т.А.Андреева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08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32f8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4"/>
    <w:uiPriority w:val="99"/>
    <w:semiHidden/>
    <w:qFormat/>
    <w:rsid w:val="00a05931"/>
    <w:rPr/>
  </w:style>
  <w:style w:type="character" w:styleId="Style15" w:customStyle="1">
    <w:name w:val="Нижний колонтитул Знак"/>
    <w:basedOn w:val="DefaultParagraphFont"/>
    <w:link w:val="a6"/>
    <w:uiPriority w:val="99"/>
    <w:semiHidden/>
    <w:qFormat/>
    <w:rsid w:val="00a05931"/>
    <w:rPr/>
  </w:style>
  <w:style w:type="character" w:styleId="Style16" w:customStyle="1">
    <w:name w:val="Название Знак"/>
    <w:basedOn w:val="DefaultParagraphFont"/>
    <w:link w:val="a8"/>
    <w:qFormat/>
    <w:rsid w:val="003a0c60"/>
    <w:rPr>
      <w:rFonts w:ascii="Times New Roman" w:hAnsi="Times New Roman" w:eastAsia="Times New Roman" w:cs="Times New Roman"/>
      <w:sz w:val="28"/>
      <w:szCs w:val="24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ohit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ohit Devanagari"/>
    </w:rPr>
  </w:style>
  <w:style w:type="paragraph" w:styleId="NoSpacing">
    <w:name w:val="No Spacing"/>
    <w:uiPriority w:val="1"/>
    <w:qFormat/>
    <w:rsid w:val="00334ca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5"/>
    <w:uiPriority w:val="99"/>
    <w:semiHidden/>
    <w:unhideWhenUsed/>
    <w:rsid w:val="00a05931"/>
    <w:pPr>
      <w:tabs>
        <w:tab w:val="clear" w:pos="4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7"/>
    <w:uiPriority w:val="99"/>
    <w:semiHidden/>
    <w:unhideWhenUsed/>
    <w:rsid w:val="00a05931"/>
    <w:pPr>
      <w:tabs>
        <w:tab w:val="clear" w:pos="4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Title"/>
    <w:basedOn w:val="Normal"/>
    <w:link w:val="a9"/>
    <w:qFormat/>
    <w:rsid w:val="003a0c60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28"/>
      <w:szCs w:val="24"/>
    </w:rPr>
  </w:style>
  <w:style w:type="paragraph" w:styleId="1" w:customStyle="1">
    <w:name w:val="Без интервала1"/>
    <w:qFormat/>
    <w:rsid w:val="002769e6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10FB8-9203-4A6E-83BE-1A443B2EA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</TotalTime>
  <Application>LibreOffice/6.4.7.2$Linux_X86_64 LibreOffice_project/40$Build-2</Application>
  <Pages>2</Pages>
  <Words>530</Words>
  <Characters>4401</Characters>
  <CharactersWithSpaces>4975</CharactersWithSpaces>
  <Paragraphs>31</Paragraphs>
  <Company>Администрация МР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2016-02-16T05:33:00Z</dcterms:created>
  <dc:creator>Лобач</dc:creator>
  <dc:description/>
  <dc:language>ru-RU</dc:language>
  <cp:lastModifiedBy/>
  <cp:lastPrinted>2020-05-18T06:45:00Z</cp:lastPrinted>
  <dcterms:modified xsi:type="dcterms:W3CDTF">2022-06-14T09:01:52Z</dcterms:modified>
  <cp:revision>116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МР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