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00" w:rsidRDefault="009D4E5A">
      <w:pPr>
        <w:jc w:val="center"/>
      </w:pPr>
      <w:r>
        <w:rPr>
          <w:noProof/>
          <w:lang w:eastAsia="ru-RU"/>
        </w:rPr>
        <w:drawing>
          <wp:inline distT="0" distB="0" distL="0" distR="0">
            <wp:extent cx="511810" cy="577850"/>
            <wp:effectExtent l="0" t="0" r="0" b="0"/>
            <wp:docPr id="1" name="Рисунок 1" descr="C:\Users\Баглай\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Баглай\Desktop\герб.jpg"/>
                    <pic:cNvPicPr>
                      <a:picLocks noChangeAspect="1" noChangeArrowheads="1"/>
                    </pic:cNvPicPr>
                  </pic:nvPicPr>
                  <pic:blipFill>
                    <a:blip r:embed="rId7"/>
                    <a:srcRect l="11087" t="9996" r="10921" b="25212"/>
                    <a:stretch>
                      <a:fillRect/>
                    </a:stretch>
                  </pic:blipFill>
                  <pic:spPr bwMode="auto">
                    <a:xfrm>
                      <a:off x="0" y="0"/>
                      <a:ext cx="511810" cy="577850"/>
                    </a:xfrm>
                    <a:prstGeom prst="rect">
                      <a:avLst/>
                    </a:prstGeom>
                  </pic:spPr>
                </pic:pic>
              </a:graphicData>
            </a:graphic>
          </wp:inline>
        </w:drawing>
      </w:r>
    </w:p>
    <w:p w:rsidR="00D77600" w:rsidRDefault="009D4E5A">
      <w:pPr>
        <w:tabs>
          <w:tab w:val="left" w:pos="2310"/>
          <w:tab w:val="center" w:pos="467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КОНТРОЛЬНО-СЧЕТНЫЙ ОРГАН</w:t>
      </w:r>
    </w:p>
    <w:p w:rsidR="00D77600" w:rsidRDefault="009D4E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77600" w:rsidRDefault="009D4E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«ПОЛТАВСКИЙ МУНИЦИПАЛЬНЫЙ РАЙОН ОМСКОЙ ОБЛАСТИ»</w:t>
      </w:r>
    </w:p>
    <w:p w:rsidR="00D77600" w:rsidRDefault="00D77600">
      <w:pPr>
        <w:spacing w:after="0" w:line="240" w:lineRule="auto"/>
        <w:jc w:val="center"/>
        <w:rPr>
          <w:rFonts w:ascii="Times New Roman" w:hAnsi="Times New Roman" w:cs="Times New Roman"/>
          <w:sz w:val="28"/>
          <w:szCs w:val="28"/>
        </w:rPr>
      </w:pPr>
    </w:p>
    <w:p w:rsidR="00D77600" w:rsidRDefault="009D4E5A">
      <w:pPr>
        <w:spacing w:after="0" w:line="240" w:lineRule="auto"/>
        <w:ind w:firstLine="709"/>
        <w:jc w:val="center"/>
        <w:rPr>
          <w:rFonts w:ascii="Times New Roman" w:hAnsi="Times New Roman" w:cs="Times New Roman"/>
          <w:b/>
          <w:color w:val="FF0000"/>
          <w:sz w:val="28"/>
          <w:szCs w:val="28"/>
        </w:rPr>
      </w:pPr>
      <w:r>
        <w:rPr>
          <w:rFonts w:ascii="Times New Roman" w:hAnsi="Times New Roman" w:cs="Times New Roman"/>
          <w:b/>
          <w:sz w:val="28"/>
          <w:szCs w:val="28"/>
        </w:rPr>
        <w:t xml:space="preserve">Заключение  № </w:t>
      </w:r>
      <w:r w:rsidR="000F583B">
        <w:rPr>
          <w:rFonts w:ascii="Times New Roman" w:hAnsi="Times New Roman" w:cs="Times New Roman"/>
          <w:b/>
          <w:sz w:val="28"/>
          <w:szCs w:val="28"/>
        </w:rPr>
        <w:t>50</w:t>
      </w:r>
      <w:r>
        <w:rPr>
          <w:rFonts w:ascii="Times New Roman" w:hAnsi="Times New Roman" w:cs="Times New Roman"/>
          <w:b/>
          <w:sz w:val="28"/>
          <w:szCs w:val="28"/>
        </w:rPr>
        <w:t xml:space="preserve"> </w:t>
      </w:r>
    </w:p>
    <w:p w:rsidR="00D77600" w:rsidRDefault="009D4E5A">
      <w:pPr>
        <w:spacing w:after="0" w:line="240" w:lineRule="auto"/>
        <w:ind w:firstLine="709"/>
        <w:jc w:val="center"/>
        <w:rPr>
          <w:rFonts w:ascii="Times New Roman" w:hAnsi="Times New Roman" w:cs="Times New Roman"/>
          <w:b/>
          <w:color w:val="FF0000"/>
          <w:sz w:val="28"/>
          <w:szCs w:val="28"/>
        </w:rPr>
      </w:pPr>
      <w:r>
        <w:rPr>
          <w:rFonts w:ascii="Times New Roman" w:hAnsi="Times New Roman" w:cs="Times New Roman"/>
          <w:b/>
          <w:sz w:val="28"/>
          <w:szCs w:val="28"/>
        </w:rPr>
        <w:t xml:space="preserve">на  проект решения Совета  Вольновского сельского поселения Полтавского муниципального района «О бюджете  сельского поселения </w:t>
      </w:r>
    </w:p>
    <w:p w:rsidR="00D77600" w:rsidRDefault="009D4E5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 202</w:t>
      </w:r>
      <w:r w:rsidR="000F583B">
        <w:rPr>
          <w:rFonts w:ascii="Times New Roman" w:hAnsi="Times New Roman" w:cs="Times New Roman"/>
          <w:b/>
          <w:sz w:val="28"/>
          <w:szCs w:val="28"/>
        </w:rPr>
        <w:t>4</w:t>
      </w:r>
      <w:r>
        <w:rPr>
          <w:rFonts w:ascii="Times New Roman" w:hAnsi="Times New Roman" w:cs="Times New Roman"/>
          <w:b/>
          <w:sz w:val="28"/>
          <w:szCs w:val="28"/>
        </w:rPr>
        <w:t xml:space="preserve"> год и плановый период 202</w:t>
      </w:r>
      <w:r w:rsidR="000F583B">
        <w:rPr>
          <w:rFonts w:ascii="Times New Roman" w:hAnsi="Times New Roman" w:cs="Times New Roman"/>
          <w:b/>
          <w:sz w:val="28"/>
          <w:szCs w:val="28"/>
        </w:rPr>
        <w:t>5</w:t>
      </w:r>
      <w:r>
        <w:rPr>
          <w:rFonts w:ascii="Times New Roman" w:hAnsi="Times New Roman" w:cs="Times New Roman"/>
          <w:b/>
          <w:sz w:val="28"/>
          <w:szCs w:val="28"/>
        </w:rPr>
        <w:t xml:space="preserve"> и 202</w:t>
      </w:r>
      <w:r w:rsidR="000F583B">
        <w:rPr>
          <w:rFonts w:ascii="Times New Roman" w:hAnsi="Times New Roman" w:cs="Times New Roman"/>
          <w:b/>
          <w:sz w:val="28"/>
          <w:szCs w:val="28"/>
        </w:rPr>
        <w:t>6</w:t>
      </w:r>
      <w:r>
        <w:rPr>
          <w:rFonts w:ascii="Times New Roman" w:hAnsi="Times New Roman" w:cs="Times New Roman"/>
          <w:b/>
          <w:sz w:val="28"/>
          <w:szCs w:val="28"/>
        </w:rPr>
        <w:t xml:space="preserve"> годов».</w:t>
      </w:r>
    </w:p>
    <w:p w:rsidR="00D77600" w:rsidRDefault="00D77600">
      <w:pPr>
        <w:jc w:val="both"/>
        <w:rPr>
          <w:rFonts w:ascii="Times New Roman" w:hAnsi="Times New Roman" w:cs="Times New Roman"/>
          <w:sz w:val="24"/>
          <w:szCs w:val="24"/>
        </w:rPr>
      </w:pPr>
    </w:p>
    <w:p w:rsidR="00D77600" w:rsidRDefault="009D4E5A">
      <w:pPr>
        <w:jc w:val="both"/>
        <w:rPr>
          <w:rFonts w:ascii="Times New Roman" w:hAnsi="Times New Roman" w:cs="Times New Roman"/>
          <w:sz w:val="24"/>
          <w:szCs w:val="24"/>
        </w:rPr>
      </w:pPr>
      <w:r>
        <w:rPr>
          <w:rFonts w:ascii="Times New Roman" w:hAnsi="Times New Roman" w:cs="Times New Roman"/>
          <w:sz w:val="24"/>
          <w:szCs w:val="24"/>
        </w:rPr>
        <w:t xml:space="preserve">р.п. Полтавка                                                                                               </w:t>
      </w:r>
      <w:bookmarkStart w:id="0" w:name="_GoBack"/>
      <w:bookmarkEnd w:id="0"/>
      <w:r w:rsidR="000F583B">
        <w:rPr>
          <w:rFonts w:ascii="Times New Roman" w:hAnsi="Times New Roman" w:cs="Times New Roman"/>
          <w:sz w:val="24"/>
          <w:szCs w:val="24"/>
        </w:rPr>
        <w:t>0</w:t>
      </w:r>
      <w:r>
        <w:rPr>
          <w:rFonts w:ascii="Times New Roman" w:hAnsi="Times New Roman" w:cs="Times New Roman"/>
          <w:sz w:val="24"/>
          <w:szCs w:val="24"/>
        </w:rPr>
        <w:t xml:space="preserve">1 </w:t>
      </w:r>
      <w:r w:rsidR="000F583B">
        <w:rPr>
          <w:rFonts w:ascii="Times New Roman" w:hAnsi="Times New Roman" w:cs="Times New Roman"/>
          <w:sz w:val="24"/>
          <w:szCs w:val="24"/>
        </w:rPr>
        <w:t>дека</w:t>
      </w:r>
      <w:r>
        <w:rPr>
          <w:rFonts w:ascii="Times New Roman" w:hAnsi="Times New Roman" w:cs="Times New Roman"/>
          <w:sz w:val="24"/>
          <w:szCs w:val="24"/>
        </w:rPr>
        <w:t>бря 202</w:t>
      </w:r>
      <w:r w:rsidR="000F583B">
        <w:rPr>
          <w:rFonts w:ascii="Times New Roman" w:hAnsi="Times New Roman" w:cs="Times New Roman"/>
          <w:sz w:val="24"/>
          <w:szCs w:val="24"/>
        </w:rPr>
        <w:t xml:space="preserve">3 </w:t>
      </w:r>
      <w:r>
        <w:rPr>
          <w:rFonts w:ascii="Times New Roman" w:hAnsi="Times New Roman" w:cs="Times New Roman"/>
          <w:sz w:val="24"/>
          <w:szCs w:val="24"/>
        </w:rPr>
        <w:t xml:space="preserve">г.    </w:t>
      </w:r>
    </w:p>
    <w:p w:rsidR="00D77600" w:rsidRDefault="009D4E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1.Общее положение</w:t>
      </w:r>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Заключение </w:t>
      </w:r>
      <w:r w:rsidR="000F583B">
        <w:rPr>
          <w:rFonts w:ascii="Times New Roman" w:hAnsi="Times New Roman" w:cs="Times New Roman"/>
          <w:sz w:val="24"/>
          <w:szCs w:val="24"/>
        </w:rPr>
        <w:t>К</w:t>
      </w:r>
      <w:r>
        <w:rPr>
          <w:rFonts w:ascii="Times New Roman" w:hAnsi="Times New Roman" w:cs="Times New Roman"/>
          <w:sz w:val="24"/>
          <w:szCs w:val="24"/>
        </w:rPr>
        <w:t xml:space="preserve">онтрольно-счетного органа муниципального образования  на проект решения Совета </w:t>
      </w:r>
      <w:bookmarkStart w:id="1" w:name="OLE_LINK1"/>
      <w:bookmarkStart w:id="2" w:name="OLE_LINK2"/>
      <w:bookmarkStart w:id="3" w:name="OLE_LINK3"/>
      <w:r>
        <w:rPr>
          <w:rFonts w:ascii="Times New Roman" w:hAnsi="Times New Roman" w:cs="Times New Roman"/>
          <w:sz w:val="24"/>
          <w:szCs w:val="24"/>
        </w:rPr>
        <w:t>Вольнов</w:t>
      </w:r>
      <w:bookmarkEnd w:id="1"/>
      <w:bookmarkEnd w:id="2"/>
      <w:bookmarkEnd w:id="3"/>
      <w:r>
        <w:rPr>
          <w:rFonts w:ascii="Times New Roman" w:hAnsi="Times New Roman" w:cs="Times New Roman"/>
          <w:sz w:val="24"/>
          <w:szCs w:val="24"/>
        </w:rPr>
        <w:t>ского сельского поселения Полтавского муниципального района «О проекте решения о бюджете сельского поселения на 202</w:t>
      </w:r>
      <w:r w:rsidR="000F583B">
        <w:rPr>
          <w:rFonts w:ascii="Times New Roman" w:hAnsi="Times New Roman" w:cs="Times New Roman"/>
          <w:sz w:val="24"/>
          <w:szCs w:val="24"/>
        </w:rPr>
        <w:t>4</w:t>
      </w:r>
      <w:r>
        <w:rPr>
          <w:rFonts w:ascii="Times New Roman" w:hAnsi="Times New Roman" w:cs="Times New Roman"/>
          <w:sz w:val="24"/>
          <w:szCs w:val="24"/>
        </w:rPr>
        <w:t xml:space="preserve"> год и плановый период 202</w:t>
      </w:r>
      <w:r w:rsidR="000F583B">
        <w:rPr>
          <w:rFonts w:ascii="Times New Roman" w:hAnsi="Times New Roman" w:cs="Times New Roman"/>
          <w:sz w:val="24"/>
          <w:szCs w:val="24"/>
        </w:rPr>
        <w:t>5 и 2026</w:t>
      </w:r>
      <w:r>
        <w:rPr>
          <w:rFonts w:ascii="Times New Roman" w:hAnsi="Times New Roman" w:cs="Times New Roman"/>
          <w:sz w:val="24"/>
          <w:szCs w:val="24"/>
        </w:rPr>
        <w:t xml:space="preserve"> годов» (далее по тексту – проект решения или проект бюджета), для рассмотрения в первом чтении  подготовлено в соответствии со ст.157 Бюджетного кодекса Российской Федерации,  Федеральным  законом от 07.02.2011 года №6-ФЗ «Об общих принципах организации и  деятельности контрольно-счетных органов субъектов Российской Федерации</w:t>
      </w:r>
      <w:r w:rsidR="000F583B">
        <w:rPr>
          <w:rFonts w:ascii="Times New Roman" w:hAnsi="Times New Roman" w:cs="Times New Roman"/>
          <w:sz w:val="24"/>
          <w:szCs w:val="24"/>
        </w:rPr>
        <w:t>, федеральных территорий</w:t>
      </w:r>
      <w:r>
        <w:rPr>
          <w:rFonts w:ascii="Times New Roman" w:hAnsi="Times New Roman" w:cs="Times New Roman"/>
          <w:sz w:val="24"/>
          <w:szCs w:val="24"/>
        </w:rPr>
        <w:t xml:space="preserve"> и муниципальных образований», Положения о бюджетном процессе в Вольновском сельском поселении Полтавском муниципальном районе (далее Положение о бюджетном процессе), Положением о контрольно-счетном органе муниципального образования «Полтавский муниципальный  район Омской области», утвержденным  решением Совета Полтавского муниципального района от 31.01.2022 года №3, п.</w:t>
      </w:r>
      <w:r w:rsidR="000F583B">
        <w:rPr>
          <w:rFonts w:ascii="Times New Roman" w:hAnsi="Times New Roman" w:cs="Times New Roman"/>
          <w:sz w:val="24"/>
          <w:szCs w:val="24"/>
        </w:rPr>
        <w:t>2</w:t>
      </w:r>
      <w:r>
        <w:rPr>
          <w:rFonts w:ascii="Times New Roman" w:hAnsi="Times New Roman" w:cs="Times New Roman"/>
          <w:sz w:val="24"/>
          <w:szCs w:val="24"/>
        </w:rPr>
        <w:t>.</w:t>
      </w:r>
      <w:r w:rsidR="000F583B">
        <w:rPr>
          <w:rFonts w:ascii="Times New Roman" w:hAnsi="Times New Roman" w:cs="Times New Roman"/>
          <w:sz w:val="24"/>
          <w:szCs w:val="24"/>
        </w:rPr>
        <w:t>16</w:t>
      </w:r>
      <w:r>
        <w:rPr>
          <w:rFonts w:ascii="Times New Roman" w:hAnsi="Times New Roman" w:cs="Times New Roman"/>
          <w:sz w:val="24"/>
          <w:szCs w:val="24"/>
        </w:rPr>
        <w:t xml:space="preserve"> Плана работы контрольно-счетного органа муниципального образования на 202</w:t>
      </w:r>
      <w:r w:rsidR="000F583B">
        <w:rPr>
          <w:rFonts w:ascii="Times New Roman" w:hAnsi="Times New Roman" w:cs="Times New Roman"/>
          <w:sz w:val="24"/>
          <w:szCs w:val="24"/>
        </w:rPr>
        <w:t>3</w:t>
      </w:r>
      <w:r>
        <w:rPr>
          <w:rFonts w:ascii="Times New Roman" w:hAnsi="Times New Roman" w:cs="Times New Roman"/>
          <w:sz w:val="24"/>
          <w:szCs w:val="24"/>
        </w:rPr>
        <w:t xml:space="preserve"> год.</w:t>
      </w:r>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проведения экспертизы – определить соответствие данного проекта решения, документов представленных с проектом решения действующему бюджетному законодательству и Положению о бюджетном процессе в Вольновском сельском поселении Полтавского муниципального района, анализ обоснованности его показателей.</w:t>
      </w:r>
    </w:p>
    <w:p w:rsidR="00D77600" w:rsidRDefault="009D4E5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решения о бюджете Вольновского сельского поселения Полтавского муниципального района на 202</w:t>
      </w:r>
      <w:r w:rsidR="000F583B">
        <w:rPr>
          <w:rFonts w:ascii="Times New Roman" w:hAnsi="Times New Roman" w:cs="Times New Roman"/>
          <w:sz w:val="24"/>
          <w:szCs w:val="24"/>
        </w:rPr>
        <w:t>4</w:t>
      </w:r>
      <w:r>
        <w:rPr>
          <w:rFonts w:ascii="Times New Roman" w:hAnsi="Times New Roman" w:cs="Times New Roman"/>
          <w:sz w:val="24"/>
          <w:szCs w:val="24"/>
        </w:rPr>
        <w:t xml:space="preserve"> год и плановый период 202</w:t>
      </w:r>
      <w:r w:rsidR="000F583B">
        <w:rPr>
          <w:rFonts w:ascii="Times New Roman" w:hAnsi="Times New Roman" w:cs="Times New Roman"/>
          <w:sz w:val="24"/>
          <w:szCs w:val="24"/>
        </w:rPr>
        <w:t>5</w:t>
      </w:r>
      <w:r>
        <w:rPr>
          <w:rFonts w:ascii="Times New Roman" w:hAnsi="Times New Roman" w:cs="Times New Roman"/>
          <w:sz w:val="24"/>
          <w:szCs w:val="24"/>
        </w:rPr>
        <w:t xml:space="preserve"> и 202</w:t>
      </w:r>
      <w:r w:rsidR="000F583B">
        <w:rPr>
          <w:rFonts w:ascii="Times New Roman" w:hAnsi="Times New Roman" w:cs="Times New Roman"/>
          <w:sz w:val="24"/>
          <w:szCs w:val="24"/>
        </w:rPr>
        <w:t>6</w:t>
      </w:r>
      <w:r>
        <w:rPr>
          <w:rFonts w:ascii="Times New Roman" w:hAnsi="Times New Roman" w:cs="Times New Roman"/>
          <w:sz w:val="24"/>
          <w:szCs w:val="24"/>
        </w:rPr>
        <w:t xml:space="preserve"> годов внесен  администрацией муниципального образования на рассмотрение в Совет Вольновского сельского поселения Полтавского муници</w:t>
      </w:r>
      <w:r w:rsidR="000F583B">
        <w:rPr>
          <w:rFonts w:ascii="Times New Roman" w:hAnsi="Times New Roman" w:cs="Times New Roman"/>
          <w:sz w:val="24"/>
          <w:szCs w:val="24"/>
        </w:rPr>
        <w:t>пального района 13</w:t>
      </w:r>
      <w:r>
        <w:rPr>
          <w:rFonts w:ascii="Times New Roman" w:hAnsi="Times New Roman" w:cs="Times New Roman"/>
          <w:sz w:val="24"/>
          <w:szCs w:val="24"/>
        </w:rPr>
        <w:t xml:space="preserve"> ноября 202</w:t>
      </w:r>
      <w:r w:rsidR="000F583B">
        <w:rPr>
          <w:rFonts w:ascii="Times New Roman" w:hAnsi="Times New Roman" w:cs="Times New Roman"/>
          <w:sz w:val="24"/>
          <w:szCs w:val="24"/>
        </w:rPr>
        <w:t>3</w:t>
      </w:r>
      <w:r>
        <w:rPr>
          <w:rFonts w:ascii="Times New Roman" w:hAnsi="Times New Roman" w:cs="Times New Roman"/>
          <w:sz w:val="24"/>
          <w:szCs w:val="24"/>
        </w:rPr>
        <w:t xml:space="preserve"> года, что соответствует ст. 11 Положения о бюджетном процессе - не позднее 15 ноября текущего года.</w:t>
      </w:r>
    </w:p>
    <w:p w:rsidR="00D77600" w:rsidRDefault="009D4E5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и содержание документов, предоставленных одновременно с проектом решения, в основном соответствуют с.184.2 БК РФ и статье 1</w:t>
      </w:r>
      <w:r w:rsidR="000F583B">
        <w:rPr>
          <w:rFonts w:ascii="Times New Roman" w:hAnsi="Times New Roman" w:cs="Times New Roman"/>
          <w:sz w:val="24"/>
          <w:szCs w:val="24"/>
        </w:rPr>
        <w:t>1</w:t>
      </w:r>
      <w:r>
        <w:rPr>
          <w:rFonts w:ascii="Times New Roman" w:hAnsi="Times New Roman" w:cs="Times New Roman"/>
          <w:sz w:val="24"/>
          <w:szCs w:val="24"/>
        </w:rPr>
        <w:t xml:space="preserve"> Положения о бюджетном процессе в Вольновском сельском поселении Полтавского муниципального района Омской области.</w:t>
      </w:r>
    </w:p>
    <w:p w:rsidR="00D77600" w:rsidRDefault="009D4E5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Вышеуказанные материалы были представлены в </w:t>
      </w:r>
      <w:r w:rsidR="000F583B">
        <w:rPr>
          <w:rFonts w:ascii="Times New Roman" w:hAnsi="Times New Roman" w:cs="Times New Roman"/>
          <w:sz w:val="24"/>
          <w:szCs w:val="24"/>
        </w:rPr>
        <w:t>К</w:t>
      </w:r>
      <w:r>
        <w:rPr>
          <w:rFonts w:ascii="Times New Roman" w:hAnsi="Times New Roman" w:cs="Times New Roman"/>
          <w:sz w:val="24"/>
          <w:szCs w:val="24"/>
        </w:rPr>
        <w:t>онтрольно – счетный орган 14.11.202</w:t>
      </w:r>
      <w:r w:rsidR="000F583B">
        <w:rPr>
          <w:rFonts w:ascii="Times New Roman" w:hAnsi="Times New Roman" w:cs="Times New Roman"/>
          <w:sz w:val="24"/>
          <w:szCs w:val="24"/>
        </w:rPr>
        <w:t>3</w:t>
      </w:r>
      <w:r>
        <w:rPr>
          <w:rFonts w:ascii="Times New Roman" w:hAnsi="Times New Roman" w:cs="Times New Roman"/>
          <w:sz w:val="24"/>
          <w:szCs w:val="24"/>
        </w:rPr>
        <w:t>г (письмо председателя Совета Вольновского сельского поселения Пол</w:t>
      </w:r>
      <w:r w:rsidR="000F583B">
        <w:rPr>
          <w:rFonts w:ascii="Times New Roman" w:hAnsi="Times New Roman" w:cs="Times New Roman"/>
          <w:sz w:val="24"/>
          <w:szCs w:val="24"/>
        </w:rPr>
        <w:t>тавского муниципального района</w:t>
      </w:r>
      <w:r>
        <w:rPr>
          <w:rFonts w:ascii="Times New Roman" w:hAnsi="Times New Roman" w:cs="Times New Roman"/>
          <w:sz w:val="24"/>
          <w:szCs w:val="24"/>
        </w:rPr>
        <w:t xml:space="preserve">). </w:t>
      </w:r>
    </w:p>
    <w:p w:rsidR="00D77600" w:rsidRDefault="00D77600">
      <w:pPr>
        <w:tabs>
          <w:tab w:val="left" w:pos="567"/>
        </w:tabs>
        <w:spacing w:after="0" w:line="240" w:lineRule="auto"/>
        <w:ind w:firstLine="709"/>
        <w:jc w:val="both"/>
        <w:rPr>
          <w:rFonts w:ascii="Times New Roman" w:hAnsi="Times New Roman" w:cs="Times New Roman"/>
          <w:sz w:val="24"/>
          <w:szCs w:val="24"/>
        </w:rPr>
      </w:pPr>
    </w:p>
    <w:p w:rsidR="00D77600" w:rsidRDefault="00D77600">
      <w:pPr>
        <w:tabs>
          <w:tab w:val="left" w:pos="567"/>
        </w:tabs>
        <w:spacing w:after="0" w:line="240" w:lineRule="auto"/>
        <w:ind w:firstLine="709"/>
        <w:jc w:val="both"/>
        <w:rPr>
          <w:rFonts w:ascii="Times New Roman" w:hAnsi="Times New Roman" w:cs="Times New Roman"/>
          <w:sz w:val="24"/>
          <w:szCs w:val="24"/>
        </w:rPr>
      </w:pPr>
    </w:p>
    <w:p w:rsidR="00D77600" w:rsidRDefault="009D4E5A">
      <w:pPr>
        <w:pStyle w:val="Default"/>
        <w:ind w:firstLine="709"/>
        <w:jc w:val="center"/>
        <w:rPr>
          <w:b/>
          <w:bCs/>
          <w:color w:val="auto"/>
        </w:rPr>
      </w:pPr>
      <w:r>
        <w:rPr>
          <w:b/>
          <w:bCs/>
          <w:color w:val="auto"/>
        </w:rPr>
        <w:lastRenderedPageBreak/>
        <w:t>2. Анализ соответствия проекта бюджета требованиям бюджетного законодательства</w:t>
      </w:r>
    </w:p>
    <w:p w:rsidR="00D77600" w:rsidRDefault="009D4E5A">
      <w:pPr>
        <w:pStyle w:val="Default"/>
        <w:ind w:firstLine="709"/>
        <w:jc w:val="center"/>
        <w:rPr>
          <w:b/>
          <w:bCs/>
          <w:color w:val="auto"/>
        </w:rPr>
      </w:pPr>
      <w:r>
        <w:rPr>
          <w:b/>
          <w:bCs/>
          <w:color w:val="auto"/>
        </w:rPr>
        <w:t>2.1. Анализ текстовой части проекта бюджета.</w:t>
      </w:r>
    </w:p>
    <w:p w:rsidR="00D77600" w:rsidRDefault="00D77600">
      <w:pPr>
        <w:pStyle w:val="Default"/>
        <w:ind w:firstLine="709"/>
        <w:jc w:val="center"/>
        <w:rPr>
          <w:color w:val="auto"/>
        </w:rPr>
      </w:pPr>
    </w:p>
    <w:p w:rsidR="00D77600" w:rsidRDefault="009D4E5A">
      <w:pPr>
        <w:pStyle w:val="Default"/>
        <w:ind w:firstLine="709"/>
        <w:jc w:val="both"/>
        <w:rPr>
          <w:color w:val="auto"/>
        </w:rPr>
      </w:pPr>
      <w:r>
        <w:rPr>
          <w:color w:val="auto"/>
        </w:rPr>
        <w:t>Проект   бюджета</w:t>
      </w:r>
      <w:r>
        <w:t xml:space="preserve"> Вольновского сельского поселения</w:t>
      </w:r>
      <w:r>
        <w:rPr>
          <w:color w:val="auto"/>
        </w:rPr>
        <w:t xml:space="preserve"> Полтавского муниципального района на 202</w:t>
      </w:r>
      <w:r w:rsidR="00490495">
        <w:rPr>
          <w:color w:val="auto"/>
        </w:rPr>
        <w:t>4</w:t>
      </w:r>
      <w:r>
        <w:rPr>
          <w:color w:val="auto"/>
        </w:rPr>
        <w:t xml:space="preserve"> год и  на плановый период 202</w:t>
      </w:r>
      <w:r w:rsidR="00490495">
        <w:rPr>
          <w:color w:val="auto"/>
        </w:rPr>
        <w:t>5</w:t>
      </w:r>
      <w:r>
        <w:rPr>
          <w:color w:val="auto"/>
        </w:rPr>
        <w:t xml:space="preserve"> и 202</w:t>
      </w:r>
      <w:r w:rsidR="00490495">
        <w:rPr>
          <w:color w:val="auto"/>
        </w:rPr>
        <w:t>6</w:t>
      </w:r>
      <w:r>
        <w:rPr>
          <w:color w:val="auto"/>
        </w:rPr>
        <w:t xml:space="preserve"> годов проанализирован на его соответствие требованиям Бюджетного кодекса Российской Федерации, Федерального закона от 06.10.2003 года №131-ФЗ «Об общих принципах организации местного самоуправления», Устава поселения, Положения о бюджетном процессе. </w:t>
      </w:r>
    </w:p>
    <w:p w:rsidR="00D77600" w:rsidRDefault="009D4E5A">
      <w:pPr>
        <w:pStyle w:val="Default"/>
        <w:ind w:firstLine="709"/>
        <w:jc w:val="both"/>
        <w:rPr>
          <w:bCs/>
        </w:rPr>
      </w:pPr>
      <w:r>
        <w:rPr>
          <w:color w:val="auto"/>
        </w:rPr>
        <w:t xml:space="preserve">Проектом решения  Совета </w:t>
      </w:r>
      <w:r>
        <w:t>Вольновского сельского поселения</w:t>
      </w:r>
      <w:r>
        <w:rPr>
          <w:color w:val="auto"/>
        </w:rPr>
        <w:t xml:space="preserve"> Полтавского муниципального района на 202</w:t>
      </w:r>
      <w:r w:rsidR="00490495">
        <w:rPr>
          <w:color w:val="auto"/>
        </w:rPr>
        <w:t>4 год и  на плановый период 2025</w:t>
      </w:r>
      <w:r>
        <w:rPr>
          <w:color w:val="auto"/>
        </w:rPr>
        <w:t xml:space="preserve"> и 202</w:t>
      </w:r>
      <w:r w:rsidR="00490495">
        <w:rPr>
          <w:color w:val="auto"/>
        </w:rPr>
        <w:t>6</w:t>
      </w:r>
      <w:r>
        <w:rPr>
          <w:color w:val="auto"/>
        </w:rPr>
        <w:t xml:space="preserve"> годов текстовой част</w:t>
      </w:r>
      <w:r w:rsidR="00490495">
        <w:rPr>
          <w:color w:val="auto"/>
        </w:rPr>
        <w:t>ью</w:t>
      </w:r>
      <w:r>
        <w:rPr>
          <w:color w:val="auto"/>
        </w:rPr>
        <w:t xml:space="preserve">  проекта предлагается утвердить основные характеристики бюджета </w:t>
      </w:r>
      <w:r>
        <w:rPr>
          <w:szCs w:val="28"/>
        </w:rPr>
        <w:t>(общий объем доходов, общий объем расходов, дефицит (профицит) бюджета), что соответствует требованиям пункта 1 статьи 184.1 БК РФ, пункту 1 статьи 10 Положения о бюджетном процессе.</w:t>
      </w:r>
    </w:p>
    <w:p w:rsidR="00D77600" w:rsidRDefault="00490495">
      <w:pPr>
        <w:pStyle w:val="Default"/>
        <w:ind w:firstLine="709"/>
        <w:jc w:val="both"/>
        <w:rPr>
          <w:color w:val="auto"/>
        </w:rPr>
      </w:pPr>
      <w:r>
        <w:rPr>
          <w:color w:val="auto"/>
        </w:rPr>
        <w:t>Т</w:t>
      </w:r>
      <w:r w:rsidR="009D4E5A">
        <w:rPr>
          <w:color w:val="auto"/>
        </w:rPr>
        <w:t>екстовой част</w:t>
      </w:r>
      <w:r>
        <w:rPr>
          <w:color w:val="auto"/>
        </w:rPr>
        <w:t>ью</w:t>
      </w:r>
      <w:r w:rsidR="009D4E5A">
        <w:rPr>
          <w:color w:val="auto"/>
        </w:rPr>
        <w:t xml:space="preserve"> проекта установлены прогнозируемые доходы местного бюджета на 202</w:t>
      </w:r>
      <w:r>
        <w:rPr>
          <w:color w:val="auto"/>
        </w:rPr>
        <w:t>4</w:t>
      </w:r>
      <w:r w:rsidR="009D4E5A">
        <w:rPr>
          <w:color w:val="auto"/>
        </w:rPr>
        <w:t xml:space="preserve"> год и  на плановый период 202</w:t>
      </w:r>
      <w:r>
        <w:rPr>
          <w:color w:val="auto"/>
        </w:rPr>
        <w:t>5</w:t>
      </w:r>
      <w:r w:rsidR="009D4E5A">
        <w:rPr>
          <w:color w:val="auto"/>
        </w:rPr>
        <w:t xml:space="preserve"> и 202</w:t>
      </w:r>
      <w:r>
        <w:rPr>
          <w:color w:val="auto"/>
        </w:rPr>
        <w:t>6</w:t>
      </w:r>
      <w:r w:rsidR="009D4E5A">
        <w:rPr>
          <w:color w:val="auto"/>
        </w:rPr>
        <w:t xml:space="preserve">годов по классификации доходов бюджетов РФ налоговых, неналоговых доходов, безвозмездных поступлений в соответствии со ст. 41,61.1,62, 58,184.1 БК РФ. </w:t>
      </w:r>
    </w:p>
    <w:p w:rsidR="00D77600" w:rsidRDefault="004904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9D4E5A">
        <w:rPr>
          <w:rFonts w:ascii="Times New Roman" w:hAnsi="Times New Roman" w:cs="Times New Roman"/>
          <w:sz w:val="24"/>
          <w:szCs w:val="24"/>
        </w:rPr>
        <w:t>редлагается</w:t>
      </w:r>
      <w:r>
        <w:rPr>
          <w:rFonts w:ascii="Times New Roman" w:hAnsi="Times New Roman" w:cs="Times New Roman"/>
          <w:sz w:val="24"/>
          <w:szCs w:val="24"/>
        </w:rPr>
        <w:t xml:space="preserve"> к</w:t>
      </w:r>
      <w:r w:rsidR="009D4E5A">
        <w:rPr>
          <w:rFonts w:ascii="Times New Roman" w:hAnsi="Times New Roman" w:cs="Times New Roman"/>
          <w:sz w:val="24"/>
          <w:szCs w:val="24"/>
        </w:rPr>
        <w:t xml:space="preserve"> утвер</w:t>
      </w:r>
      <w:r>
        <w:rPr>
          <w:rFonts w:ascii="Times New Roman" w:hAnsi="Times New Roman" w:cs="Times New Roman"/>
          <w:sz w:val="24"/>
          <w:szCs w:val="24"/>
        </w:rPr>
        <w:t>ж</w:t>
      </w:r>
      <w:r w:rsidR="009D4E5A">
        <w:rPr>
          <w:rFonts w:ascii="Times New Roman" w:hAnsi="Times New Roman" w:cs="Times New Roman"/>
          <w:sz w:val="24"/>
          <w:szCs w:val="24"/>
        </w:rPr>
        <w:t>д</w:t>
      </w:r>
      <w:r>
        <w:rPr>
          <w:rFonts w:ascii="Times New Roman" w:hAnsi="Times New Roman" w:cs="Times New Roman"/>
          <w:sz w:val="24"/>
          <w:szCs w:val="24"/>
        </w:rPr>
        <w:t>ению</w:t>
      </w:r>
      <w:r w:rsidR="009D4E5A">
        <w:rPr>
          <w:rFonts w:ascii="Times New Roman" w:hAnsi="Times New Roman" w:cs="Times New Roman"/>
          <w:sz w:val="24"/>
          <w:szCs w:val="24"/>
        </w:rPr>
        <w:t xml:space="preserve"> объем бюджетных ассигнований,  направленный на исполнение публичных нормативных обязательств.</w:t>
      </w:r>
    </w:p>
    <w:p w:rsidR="00D77600" w:rsidRDefault="004904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9D4E5A">
        <w:rPr>
          <w:rFonts w:ascii="Times New Roman" w:hAnsi="Times New Roman" w:cs="Times New Roman"/>
          <w:sz w:val="24"/>
          <w:szCs w:val="24"/>
        </w:rPr>
        <w:t>пунктом 5 статьи 179.4 БК РФ, пунктом 2 статьи 10 Положения о бюджетном процессе в проект</w:t>
      </w:r>
      <w:r>
        <w:rPr>
          <w:rFonts w:ascii="Times New Roman" w:hAnsi="Times New Roman" w:cs="Times New Roman"/>
          <w:sz w:val="24"/>
          <w:szCs w:val="24"/>
        </w:rPr>
        <w:t>е</w:t>
      </w:r>
      <w:r w:rsidR="009D4E5A">
        <w:rPr>
          <w:rFonts w:ascii="Times New Roman" w:hAnsi="Times New Roman" w:cs="Times New Roman"/>
          <w:sz w:val="24"/>
          <w:szCs w:val="24"/>
        </w:rPr>
        <w:t xml:space="preserve"> решения предусматривается объем бюджетных ассигнований дорожного фонда Вольновского сельского поселения Полтавского муниципального района Омской области который создан из планируемых поступлений Акциз по подакцизным товарам. </w:t>
      </w:r>
    </w:p>
    <w:p w:rsidR="00D77600" w:rsidRDefault="00490495">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В</w:t>
      </w:r>
      <w:r w:rsidR="009D4E5A">
        <w:rPr>
          <w:rFonts w:ascii="Times New Roman" w:hAnsi="Times New Roman" w:cs="Times New Roman"/>
          <w:sz w:val="24"/>
          <w:szCs w:val="24"/>
        </w:rPr>
        <w:t xml:space="preserve"> соответствии с требованиями статьи 184.1 БК РФ, пунктом 2 статьи 11 Положения о бюджетном процесс</w:t>
      </w:r>
      <w:r>
        <w:rPr>
          <w:rFonts w:ascii="Times New Roman" w:hAnsi="Times New Roman" w:cs="Times New Roman"/>
          <w:sz w:val="24"/>
          <w:szCs w:val="24"/>
        </w:rPr>
        <w:t>е предлагается утвердить на 2024</w:t>
      </w:r>
      <w:r w:rsidR="009D4E5A">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5 и 2026</w:t>
      </w:r>
      <w:r w:rsidR="009D4E5A">
        <w:rPr>
          <w:rFonts w:ascii="Times New Roman" w:hAnsi="Times New Roman" w:cs="Times New Roman"/>
          <w:sz w:val="24"/>
          <w:szCs w:val="24"/>
        </w:rPr>
        <w:t> годов</w:t>
      </w:r>
      <w:r>
        <w:rPr>
          <w:rFonts w:ascii="Times New Roman" w:hAnsi="Times New Roman" w:cs="Times New Roman"/>
          <w:sz w:val="24"/>
          <w:szCs w:val="24"/>
        </w:rPr>
        <w:t xml:space="preserve"> в приложениях к проекту</w:t>
      </w:r>
      <w:r w:rsidR="009D4E5A">
        <w:rPr>
          <w:rFonts w:ascii="Times New Roman" w:hAnsi="Times New Roman" w:cs="Times New Roman"/>
          <w:sz w:val="24"/>
          <w:szCs w:val="24"/>
        </w:rPr>
        <w:t>:</w:t>
      </w:r>
    </w:p>
    <w:p w:rsidR="00D77600" w:rsidRDefault="009D4E5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местного бюджета по разделам и подразделам классификации расходов бюджетов;</w:t>
      </w:r>
    </w:p>
    <w:p w:rsidR="00D77600" w:rsidRDefault="009D4E5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ведомственную структуру расходов местного бюджета;</w:t>
      </w:r>
    </w:p>
    <w:p w:rsidR="00D77600" w:rsidRDefault="009D4E5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D77600" w:rsidRDefault="00490495">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В</w:t>
      </w:r>
      <w:r w:rsidR="009D4E5A">
        <w:rPr>
          <w:rFonts w:ascii="Times New Roman" w:hAnsi="Times New Roman" w:cs="Times New Roman"/>
          <w:sz w:val="24"/>
          <w:szCs w:val="24"/>
        </w:rPr>
        <w:t xml:space="preserve"> соответствии с пунктом 8 статьи 217 БК РФ установлены дополнительные основания для внесения изменений в 202</w:t>
      </w:r>
      <w:r>
        <w:rPr>
          <w:rFonts w:ascii="Times New Roman" w:hAnsi="Times New Roman" w:cs="Times New Roman"/>
          <w:sz w:val="24"/>
          <w:szCs w:val="24"/>
        </w:rPr>
        <w:t>4</w:t>
      </w:r>
      <w:r w:rsidR="009D4E5A">
        <w:rPr>
          <w:rFonts w:ascii="Times New Roman" w:hAnsi="Times New Roman" w:cs="Times New Roman"/>
          <w:sz w:val="24"/>
          <w:szCs w:val="24"/>
        </w:rPr>
        <w:t xml:space="preserve"> году в показатели сводной бюджетной росписи местного бюджета без внесения изменений в решение о местного бюджете.</w:t>
      </w:r>
    </w:p>
    <w:p w:rsidR="00D77600" w:rsidRDefault="00490495">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П</w:t>
      </w:r>
      <w:r w:rsidR="009D4E5A">
        <w:rPr>
          <w:rFonts w:ascii="Times New Roman" w:hAnsi="Times New Roman" w:cs="Times New Roman"/>
          <w:sz w:val="24"/>
          <w:szCs w:val="24"/>
        </w:rPr>
        <w:t>роект</w:t>
      </w:r>
      <w:r>
        <w:rPr>
          <w:rFonts w:ascii="Times New Roman" w:hAnsi="Times New Roman" w:cs="Times New Roman"/>
          <w:sz w:val="24"/>
          <w:szCs w:val="24"/>
        </w:rPr>
        <w:t>ом</w:t>
      </w:r>
      <w:r w:rsidR="009D4E5A">
        <w:rPr>
          <w:rFonts w:ascii="Times New Roman" w:hAnsi="Times New Roman" w:cs="Times New Roman"/>
          <w:sz w:val="24"/>
          <w:szCs w:val="24"/>
        </w:rPr>
        <w:t xml:space="preserve"> решения установлен размер резервного фонда администрации Вольновского сельского поселения Полтавского муниципального района на 202</w:t>
      </w:r>
      <w:r>
        <w:rPr>
          <w:rFonts w:ascii="Times New Roman" w:hAnsi="Times New Roman" w:cs="Times New Roman"/>
          <w:sz w:val="24"/>
          <w:szCs w:val="24"/>
        </w:rPr>
        <w:t>4</w:t>
      </w:r>
      <w:r w:rsidR="009D4E5A">
        <w:rPr>
          <w:rFonts w:ascii="Times New Roman" w:hAnsi="Times New Roman" w:cs="Times New Roman"/>
          <w:sz w:val="24"/>
          <w:szCs w:val="24"/>
        </w:rPr>
        <w:t xml:space="preserve"> г  </w:t>
      </w:r>
      <w:r>
        <w:rPr>
          <w:rFonts w:ascii="Times New Roman" w:hAnsi="Times New Roman" w:cs="Times New Roman"/>
          <w:sz w:val="24"/>
          <w:szCs w:val="24"/>
        </w:rPr>
        <w:t xml:space="preserve">и плановый период </w:t>
      </w:r>
      <w:r w:rsidR="009D4E5A">
        <w:rPr>
          <w:rFonts w:ascii="Times New Roman" w:hAnsi="Times New Roman" w:cs="Times New Roman"/>
          <w:sz w:val="24"/>
          <w:szCs w:val="24"/>
        </w:rPr>
        <w:t>202</w:t>
      </w:r>
      <w:r>
        <w:rPr>
          <w:rFonts w:ascii="Times New Roman" w:hAnsi="Times New Roman" w:cs="Times New Roman"/>
          <w:sz w:val="24"/>
          <w:szCs w:val="24"/>
        </w:rPr>
        <w:t>5</w:t>
      </w:r>
      <w:r w:rsidR="009D4E5A">
        <w:rPr>
          <w:rFonts w:ascii="Times New Roman" w:hAnsi="Times New Roman" w:cs="Times New Roman"/>
          <w:sz w:val="24"/>
          <w:szCs w:val="24"/>
        </w:rPr>
        <w:t xml:space="preserve"> и 202</w:t>
      </w:r>
      <w:r>
        <w:rPr>
          <w:rFonts w:ascii="Times New Roman" w:hAnsi="Times New Roman" w:cs="Times New Roman"/>
          <w:sz w:val="24"/>
          <w:szCs w:val="24"/>
        </w:rPr>
        <w:t>6</w:t>
      </w:r>
      <w:r w:rsidR="009D4E5A">
        <w:rPr>
          <w:rFonts w:ascii="Times New Roman" w:hAnsi="Times New Roman" w:cs="Times New Roman"/>
          <w:sz w:val="24"/>
          <w:szCs w:val="24"/>
        </w:rPr>
        <w:t xml:space="preserve"> годы, данные расходы соответствуют </w:t>
      </w:r>
      <w:r>
        <w:rPr>
          <w:rFonts w:ascii="Times New Roman" w:hAnsi="Times New Roman" w:cs="Times New Roman"/>
          <w:sz w:val="24"/>
          <w:szCs w:val="24"/>
        </w:rPr>
        <w:t xml:space="preserve">требованиям </w:t>
      </w:r>
      <w:r w:rsidR="009D4E5A">
        <w:rPr>
          <w:rFonts w:ascii="Times New Roman" w:hAnsi="Times New Roman" w:cs="Times New Roman"/>
          <w:sz w:val="24"/>
          <w:szCs w:val="24"/>
        </w:rPr>
        <w:t>ч.3 ст. 81 БК РФ.</w:t>
      </w:r>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соблюдения принципа эффективности расходования бюджетных средств, установленного статьей 34 БК РФ,  проект</w:t>
      </w:r>
      <w:r w:rsidR="00490495">
        <w:rPr>
          <w:rFonts w:ascii="Times New Roman" w:hAnsi="Times New Roman" w:cs="Times New Roman"/>
          <w:sz w:val="24"/>
          <w:szCs w:val="24"/>
        </w:rPr>
        <w:t>ом</w:t>
      </w:r>
      <w:r>
        <w:rPr>
          <w:rFonts w:ascii="Times New Roman" w:hAnsi="Times New Roman" w:cs="Times New Roman"/>
          <w:sz w:val="24"/>
          <w:szCs w:val="24"/>
        </w:rPr>
        <w:t xml:space="preserve"> решения установлены особенности использования бюджетных ассигнований по обеспечению деятельности органов местного самоуправления, муниципальных учреждений.</w:t>
      </w:r>
    </w:p>
    <w:p w:rsidR="00D77600" w:rsidRDefault="00490495">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В</w:t>
      </w:r>
      <w:r w:rsidR="009D4E5A">
        <w:rPr>
          <w:rFonts w:ascii="Times New Roman" w:hAnsi="Times New Roman" w:cs="Times New Roman"/>
          <w:sz w:val="24"/>
          <w:szCs w:val="24"/>
        </w:rPr>
        <w:t xml:space="preserve"> соответствии с пунктом 3 статьи 184.1 БК РФ, пунктом 2 статьи 11 Положения о бюджетном процессе утверждается объем межбюджетных трансфертов, получаемых из других бюджетов бюджетной системы Российской Федерации, а также объем межбюджетных трансфертов, предоставляемых другим бюджетам бюджетной системы Российской Федерации, в 202</w:t>
      </w:r>
      <w:r>
        <w:rPr>
          <w:rFonts w:ascii="Times New Roman" w:hAnsi="Times New Roman" w:cs="Times New Roman"/>
          <w:sz w:val="24"/>
          <w:szCs w:val="24"/>
        </w:rPr>
        <w:t>4</w:t>
      </w:r>
      <w:r w:rsidR="009D4E5A">
        <w:rPr>
          <w:rFonts w:ascii="Times New Roman" w:hAnsi="Times New Roman" w:cs="Times New Roman"/>
          <w:sz w:val="24"/>
          <w:szCs w:val="24"/>
        </w:rPr>
        <w:t>-202</w:t>
      </w:r>
      <w:r>
        <w:rPr>
          <w:rFonts w:ascii="Times New Roman" w:hAnsi="Times New Roman" w:cs="Times New Roman"/>
          <w:sz w:val="24"/>
          <w:szCs w:val="24"/>
        </w:rPr>
        <w:t>6</w:t>
      </w:r>
      <w:r w:rsidR="009D4E5A">
        <w:rPr>
          <w:rFonts w:ascii="Times New Roman" w:hAnsi="Times New Roman" w:cs="Times New Roman"/>
          <w:sz w:val="24"/>
          <w:szCs w:val="24"/>
        </w:rPr>
        <w:t xml:space="preserve"> годах.</w:t>
      </w:r>
    </w:p>
    <w:p w:rsidR="00D77600" w:rsidRDefault="006717E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9D4E5A">
        <w:rPr>
          <w:rFonts w:ascii="Times New Roman" w:hAnsi="Times New Roman" w:cs="Times New Roman"/>
          <w:sz w:val="24"/>
          <w:szCs w:val="24"/>
        </w:rPr>
        <w:t>роект</w:t>
      </w:r>
      <w:r>
        <w:rPr>
          <w:rFonts w:ascii="Times New Roman" w:hAnsi="Times New Roman" w:cs="Times New Roman"/>
          <w:sz w:val="24"/>
          <w:szCs w:val="24"/>
        </w:rPr>
        <w:t>ом</w:t>
      </w:r>
      <w:r w:rsidR="009D4E5A">
        <w:rPr>
          <w:rFonts w:ascii="Times New Roman" w:hAnsi="Times New Roman" w:cs="Times New Roman"/>
          <w:sz w:val="24"/>
          <w:szCs w:val="24"/>
        </w:rPr>
        <w:t xml:space="preserve"> решения в </w:t>
      </w:r>
      <w:r>
        <w:rPr>
          <w:rFonts w:ascii="Times New Roman" w:hAnsi="Times New Roman" w:cs="Times New Roman"/>
          <w:sz w:val="24"/>
          <w:szCs w:val="24"/>
        </w:rPr>
        <w:t xml:space="preserve">соответствии с </w:t>
      </w:r>
      <w:r w:rsidR="009D4E5A">
        <w:rPr>
          <w:rFonts w:ascii="Times New Roman" w:hAnsi="Times New Roman" w:cs="Times New Roman"/>
          <w:b/>
          <w:bCs/>
          <w:sz w:val="24"/>
          <w:szCs w:val="24"/>
        </w:rPr>
        <w:t xml:space="preserve"> </w:t>
      </w:r>
      <w:r w:rsidR="009D4E5A" w:rsidRPr="006717EA">
        <w:rPr>
          <w:rFonts w:ascii="Times New Roman" w:hAnsi="Times New Roman" w:cs="Times New Roman"/>
          <w:bCs/>
          <w:sz w:val="24"/>
          <w:szCs w:val="24"/>
        </w:rPr>
        <w:t>п.2 ст.107 БК РФ</w:t>
      </w:r>
      <w:r w:rsidR="009D4E5A">
        <w:rPr>
          <w:rFonts w:ascii="Times New Roman" w:hAnsi="Times New Roman" w:cs="Times New Roman"/>
          <w:b/>
          <w:bCs/>
          <w:sz w:val="24"/>
          <w:szCs w:val="24"/>
        </w:rPr>
        <w:t xml:space="preserve">  </w:t>
      </w:r>
      <w:r w:rsidR="009D4E5A" w:rsidRPr="006717EA">
        <w:rPr>
          <w:rFonts w:ascii="Times New Roman" w:hAnsi="Times New Roman" w:cs="Times New Roman"/>
          <w:bCs/>
          <w:sz w:val="24"/>
          <w:szCs w:val="24"/>
        </w:rPr>
        <w:t>установлен в</w:t>
      </w:r>
      <w:r w:rsidR="009D4E5A" w:rsidRPr="006717EA">
        <w:rPr>
          <w:rFonts w:ascii="Times New Roman" w:hAnsi="Times New Roman" w:cs="Times New Roman"/>
          <w:sz w:val="24"/>
          <w:szCs w:val="24"/>
        </w:rPr>
        <w:t>ерхн</w:t>
      </w:r>
      <w:r w:rsidRPr="006717EA">
        <w:rPr>
          <w:rFonts w:ascii="Times New Roman" w:hAnsi="Times New Roman" w:cs="Times New Roman"/>
          <w:sz w:val="24"/>
          <w:szCs w:val="24"/>
        </w:rPr>
        <w:t>ий</w:t>
      </w:r>
      <w:r w:rsidR="009D4E5A">
        <w:rPr>
          <w:rFonts w:ascii="Times New Roman" w:hAnsi="Times New Roman" w:cs="Times New Roman"/>
          <w:sz w:val="24"/>
          <w:szCs w:val="24"/>
        </w:rPr>
        <w:t xml:space="preserve"> предел муниципального внутреннего долга и  верхн</w:t>
      </w:r>
      <w:r>
        <w:rPr>
          <w:rFonts w:ascii="Times New Roman" w:hAnsi="Times New Roman" w:cs="Times New Roman"/>
          <w:sz w:val="24"/>
          <w:szCs w:val="24"/>
        </w:rPr>
        <w:t>ий</w:t>
      </w:r>
      <w:r w:rsidR="009D4E5A">
        <w:rPr>
          <w:rFonts w:ascii="Times New Roman" w:hAnsi="Times New Roman" w:cs="Times New Roman"/>
          <w:sz w:val="24"/>
          <w:szCs w:val="24"/>
        </w:rPr>
        <w:t xml:space="preserve"> предел долга по муниципальным гарантиям по состоянию на 1 января года следующего за вторым плановым периодом;</w:t>
      </w:r>
    </w:p>
    <w:p w:rsidR="00D77600" w:rsidRDefault="006717E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Предлагаются к у</w:t>
      </w:r>
      <w:r w:rsidR="009D4E5A">
        <w:rPr>
          <w:rFonts w:ascii="Times New Roman" w:hAnsi="Times New Roman" w:cs="Times New Roman"/>
          <w:sz w:val="24"/>
          <w:szCs w:val="24"/>
        </w:rPr>
        <w:t>твержд</w:t>
      </w:r>
      <w:r>
        <w:rPr>
          <w:rFonts w:ascii="Times New Roman" w:hAnsi="Times New Roman" w:cs="Times New Roman"/>
          <w:sz w:val="24"/>
          <w:szCs w:val="24"/>
        </w:rPr>
        <w:t>ению</w:t>
      </w:r>
      <w:r w:rsidR="009D4E5A">
        <w:rPr>
          <w:rFonts w:ascii="Times New Roman" w:hAnsi="Times New Roman" w:cs="Times New Roman"/>
          <w:sz w:val="24"/>
          <w:szCs w:val="24"/>
        </w:rPr>
        <w:t xml:space="preserve"> источники финансирования дефицита местного бюджета на 202</w:t>
      </w:r>
      <w:r>
        <w:rPr>
          <w:rFonts w:ascii="Times New Roman" w:hAnsi="Times New Roman" w:cs="Times New Roman"/>
          <w:sz w:val="24"/>
          <w:szCs w:val="24"/>
        </w:rPr>
        <w:t>4</w:t>
      </w:r>
      <w:r w:rsidR="009D4E5A">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5</w:t>
      </w:r>
      <w:r w:rsidR="009D4E5A">
        <w:rPr>
          <w:rFonts w:ascii="Times New Roman" w:hAnsi="Times New Roman" w:cs="Times New Roman"/>
          <w:sz w:val="24"/>
          <w:szCs w:val="24"/>
        </w:rPr>
        <w:t xml:space="preserve"> и 202</w:t>
      </w:r>
      <w:r>
        <w:rPr>
          <w:rFonts w:ascii="Times New Roman" w:hAnsi="Times New Roman" w:cs="Times New Roman"/>
          <w:sz w:val="24"/>
          <w:szCs w:val="24"/>
        </w:rPr>
        <w:t>6</w:t>
      </w:r>
      <w:r w:rsidR="009D4E5A">
        <w:rPr>
          <w:rFonts w:ascii="Times New Roman" w:hAnsi="Times New Roman" w:cs="Times New Roman"/>
          <w:sz w:val="24"/>
          <w:szCs w:val="24"/>
        </w:rPr>
        <w:t xml:space="preserve"> годов</w:t>
      </w:r>
      <w:r>
        <w:rPr>
          <w:rFonts w:ascii="Times New Roman" w:hAnsi="Times New Roman" w:cs="Times New Roman"/>
          <w:sz w:val="24"/>
          <w:szCs w:val="24"/>
        </w:rPr>
        <w:t>,</w:t>
      </w:r>
      <w:r w:rsidR="009D4E5A">
        <w:rPr>
          <w:rFonts w:ascii="Times New Roman" w:hAnsi="Times New Roman" w:cs="Times New Roman"/>
          <w:sz w:val="24"/>
          <w:szCs w:val="24"/>
        </w:rPr>
        <w:t xml:space="preserve"> программа муниципальных внутренних заимствований  на 202</w:t>
      </w:r>
      <w:r>
        <w:rPr>
          <w:rFonts w:ascii="Times New Roman" w:hAnsi="Times New Roman" w:cs="Times New Roman"/>
          <w:sz w:val="24"/>
          <w:szCs w:val="24"/>
        </w:rPr>
        <w:t>4</w:t>
      </w:r>
      <w:r w:rsidR="009D4E5A">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5</w:t>
      </w:r>
      <w:r w:rsidR="009D4E5A">
        <w:rPr>
          <w:rFonts w:ascii="Times New Roman" w:hAnsi="Times New Roman" w:cs="Times New Roman"/>
          <w:sz w:val="24"/>
          <w:szCs w:val="24"/>
        </w:rPr>
        <w:t xml:space="preserve"> и 202</w:t>
      </w:r>
      <w:r>
        <w:rPr>
          <w:rFonts w:ascii="Times New Roman" w:hAnsi="Times New Roman" w:cs="Times New Roman"/>
          <w:sz w:val="24"/>
          <w:szCs w:val="24"/>
        </w:rPr>
        <w:t>6</w:t>
      </w:r>
      <w:r w:rsidR="009D4E5A">
        <w:rPr>
          <w:rFonts w:ascii="Times New Roman" w:hAnsi="Times New Roman" w:cs="Times New Roman"/>
          <w:sz w:val="24"/>
          <w:szCs w:val="24"/>
        </w:rPr>
        <w:t xml:space="preserve"> годов.</w:t>
      </w:r>
    </w:p>
    <w:p w:rsidR="00D77600" w:rsidRDefault="006717E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П</w:t>
      </w:r>
      <w:r w:rsidR="009D4E5A">
        <w:rPr>
          <w:rFonts w:ascii="Times New Roman" w:hAnsi="Times New Roman" w:cs="Times New Roman"/>
          <w:sz w:val="24"/>
          <w:szCs w:val="24"/>
        </w:rPr>
        <w:t>роект</w:t>
      </w:r>
      <w:r>
        <w:rPr>
          <w:rFonts w:ascii="Times New Roman" w:hAnsi="Times New Roman" w:cs="Times New Roman"/>
          <w:sz w:val="24"/>
          <w:szCs w:val="24"/>
        </w:rPr>
        <w:t>ом</w:t>
      </w:r>
      <w:r w:rsidR="009D4E5A">
        <w:rPr>
          <w:rFonts w:ascii="Times New Roman" w:hAnsi="Times New Roman" w:cs="Times New Roman"/>
          <w:sz w:val="24"/>
          <w:szCs w:val="24"/>
        </w:rPr>
        <w:t xml:space="preserve"> решения установлено, что в 202</w:t>
      </w:r>
      <w:r>
        <w:rPr>
          <w:rFonts w:ascii="Times New Roman" w:hAnsi="Times New Roman" w:cs="Times New Roman"/>
          <w:sz w:val="24"/>
          <w:szCs w:val="24"/>
        </w:rPr>
        <w:t>4</w:t>
      </w:r>
      <w:r w:rsidR="009D4E5A">
        <w:rPr>
          <w:rFonts w:ascii="Times New Roman" w:hAnsi="Times New Roman" w:cs="Times New Roman"/>
          <w:sz w:val="24"/>
          <w:szCs w:val="24"/>
        </w:rPr>
        <w:t xml:space="preserve"> году и в плановом периоде 202</w:t>
      </w:r>
      <w:r>
        <w:rPr>
          <w:rFonts w:ascii="Times New Roman" w:hAnsi="Times New Roman" w:cs="Times New Roman"/>
          <w:sz w:val="24"/>
          <w:szCs w:val="24"/>
        </w:rPr>
        <w:t xml:space="preserve">5 и 2026 </w:t>
      </w:r>
      <w:r w:rsidR="009D4E5A">
        <w:rPr>
          <w:rFonts w:ascii="Times New Roman" w:hAnsi="Times New Roman" w:cs="Times New Roman"/>
          <w:sz w:val="24"/>
          <w:szCs w:val="24"/>
        </w:rPr>
        <w:t>годов муниципальные гарантии Вольновским сельским поселением Полтавского муниципального района не предоставляются.</w:t>
      </w:r>
    </w:p>
    <w:p w:rsidR="00D77600" w:rsidRDefault="006717E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В</w:t>
      </w:r>
      <w:r w:rsidR="009D4E5A">
        <w:rPr>
          <w:rFonts w:ascii="Times New Roman" w:hAnsi="Times New Roman" w:cs="Times New Roman"/>
          <w:sz w:val="24"/>
          <w:szCs w:val="24"/>
        </w:rPr>
        <w:t xml:space="preserve"> соответствии со статьей 215.1 БК РФ </w:t>
      </w:r>
      <w:r>
        <w:rPr>
          <w:rFonts w:ascii="Times New Roman" w:hAnsi="Times New Roman" w:cs="Times New Roman"/>
          <w:sz w:val="24"/>
          <w:szCs w:val="24"/>
        </w:rPr>
        <w:t xml:space="preserve">проектом решения </w:t>
      </w:r>
      <w:r w:rsidR="009D4E5A">
        <w:rPr>
          <w:rFonts w:ascii="Times New Roman" w:hAnsi="Times New Roman" w:cs="Times New Roman"/>
          <w:sz w:val="24"/>
          <w:szCs w:val="24"/>
        </w:rPr>
        <w:t>предусматриваются:</w:t>
      </w:r>
    </w:p>
    <w:p w:rsidR="00D77600" w:rsidRDefault="009D4E5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особенности погашения кредиторской задолженности главных распорядителей средств местного бюджета;</w:t>
      </w:r>
    </w:p>
    <w:p w:rsidR="00D77600" w:rsidRDefault="009D4E5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положения по авансированию расходных обязательств получателей средств местного бюджета;</w:t>
      </w:r>
    </w:p>
    <w:p w:rsidR="00D77600" w:rsidRDefault="009D4E5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особенности обслуживания лицевых счетов получателей средств местного бюджета, а также возможность временного использования поступающих во временное распоряжение получателей средств местного бюджета средств в целях повышения ликвидности единого счета местного бюджета.</w:t>
      </w:r>
    </w:p>
    <w:p w:rsidR="00D77600" w:rsidRDefault="006717E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В</w:t>
      </w:r>
      <w:r w:rsidR="009D4E5A">
        <w:rPr>
          <w:rFonts w:ascii="Times New Roman" w:hAnsi="Times New Roman" w:cs="Times New Roman"/>
          <w:sz w:val="24"/>
          <w:szCs w:val="24"/>
        </w:rPr>
        <w:t xml:space="preserve"> соответствии с пунктом 5 статьи 242 БК РФ регулиру</w:t>
      </w:r>
      <w:r>
        <w:rPr>
          <w:rFonts w:ascii="Times New Roman" w:hAnsi="Times New Roman" w:cs="Times New Roman"/>
          <w:sz w:val="24"/>
          <w:szCs w:val="24"/>
        </w:rPr>
        <w:t>ю</w:t>
      </w:r>
      <w:r w:rsidR="009D4E5A">
        <w:rPr>
          <w:rFonts w:ascii="Times New Roman" w:hAnsi="Times New Roman" w:cs="Times New Roman"/>
          <w:sz w:val="24"/>
          <w:szCs w:val="24"/>
        </w:rPr>
        <w:t>т</w:t>
      </w:r>
      <w:r>
        <w:rPr>
          <w:rFonts w:ascii="Times New Roman" w:hAnsi="Times New Roman" w:cs="Times New Roman"/>
          <w:sz w:val="24"/>
          <w:szCs w:val="24"/>
        </w:rPr>
        <w:t>ся</w:t>
      </w:r>
      <w:r w:rsidR="009D4E5A">
        <w:rPr>
          <w:rFonts w:ascii="Times New Roman" w:hAnsi="Times New Roman" w:cs="Times New Roman"/>
          <w:sz w:val="24"/>
          <w:szCs w:val="24"/>
        </w:rPr>
        <w:t xml:space="preserve"> вопросы возврата не использованных по состоянию на 1 января 202</w:t>
      </w:r>
      <w:r>
        <w:rPr>
          <w:rFonts w:ascii="Times New Roman" w:hAnsi="Times New Roman" w:cs="Times New Roman"/>
          <w:sz w:val="24"/>
          <w:szCs w:val="24"/>
        </w:rPr>
        <w:t>4</w:t>
      </w:r>
      <w:r w:rsidR="009D4E5A">
        <w:rPr>
          <w:rFonts w:ascii="Times New Roman" w:hAnsi="Times New Roman" w:cs="Times New Roman"/>
          <w:sz w:val="24"/>
          <w:szCs w:val="24"/>
        </w:rPr>
        <w:t xml:space="preserve"> года остатков средств, полученных из районного бюджета муниципальным образованиям Вольновского сельского поселения Полтавского муниципального района в форме иных межбюджетных трансфертов, имеющих целевое назначение.</w:t>
      </w:r>
    </w:p>
    <w:p w:rsidR="00D77600" w:rsidRDefault="006717EA">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В</w:t>
      </w:r>
      <w:r w:rsidR="009D4E5A">
        <w:rPr>
          <w:rFonts w:ascii="Times New Roman" w:hAnsi="Times New Roman" w:cs="Times New Roman"/>
          <w:sz w:val="24"/>
          <w:szCs w:val="24"/>
        </w:rPr>
        <w:t xml:space="preserve"> соответствии со статьей 5 БК РФ</w:t>
      </w:r>
      <w:r w:rsidR="009D4E5A">
        <w:rPr>
          <w:rFonts w:ascii="Times New Roman" w:hAnsi="Times New Roman" w:cs="Times New Roman"/>
          <w:color w:val="000000"/>
          <w:sz w:val="24"/>
          <w:szCs w:val="24"/>
        </w:rPr>
        <w:t>, пунктом</w:t>
      </w:r>
      <w:r w:rsidR="009D4E5A">
        <w:rPr>
          <w:rFonts w:ascii="Times New Roman" w:hAnsi="Times New Roman" w:cs="Times New Roman"/>
          <w:color w:val="FF0000"/>
          <w:sz w:val="24"/>
          <w:szCs w:val="24"/>
        </w:rPr>
        <w:t> </w:t>
      </w:r>
      <w:r w:rsidR="009D4E5A">
        <w:rPr>
          <w:rFonts w:ascii="Times New Roman" w:hAnsi="Times New Roman" w:cs="Times New Roman"/>
          <w:color w:val="000000"/>
          <w:sz w:val="24"/>
          <w:szCs w:val="24"/>
        </w:rPr>
        <w:t>5 статьи 13 Положения</w:t>
      </w:r>
      <w:r w:rsidR="009D4E5A">
        <w:rPr>
          <w:rFonts w:ascii="Times New Roman" w:hAnsi="Times New Roman" w:cs="Times New Roman"/>
          <w:sz w:val="24"/>
          <w:szCs w:val="24"/>
        </w:rPr>
        <w:t xml:space="preserve"> о бюджетном процессе </w:t>
      </w:r>
      <w:r>
        <w:rPr>
          <w:rFonts w:ascii="Times New Roman" w:hAnsi="Times New Roman" w:cs="Times New Roman"/>
          <w:sz w:val="24"/>
          <w:szCs w:val="24"/>
        </w:rPr>
        <w:t xml:space="preserve"> проектом решения </w:t>
      </w:r>
      <w:r w:rsidR="009D4E5A">
        <w:rPr>
          <w:rFonts w:ascii="Times New Roman" w:hAnsi="Times New Roman" w:cs="Times New Roman"/>
          <w:sz w:val="24"/>
          <w:szCs w:val="24"/>
        </w:rPr>
        <w:t>предусматривает</w:t>
      </w:r>
      <w:r>
        <w:rPr>
          <w:rFonts w:ascii="Times New Roman" w:hAnsi="Times New Roman" w:cs="Times New Roman"/>
          <w:sz w:val="24"/>
          <w:szCs w:val="24"/>
        </w:rPr>
        <w:t>ся срок вступления в силу данного решения</w:t>
      </w:r>
      <w:r w:rsidR="009D4E5A">
        <w:rPr>
          <w:rFonts w:ascii="Times New Roman" w:hAnsi="Times New Roman" w:cs="Times New Roman"/>
          <w:sz w:val="24"/>
          <w:szCs w:val="24"/>
        </w:rPr>
        <w:t>.</w:t>
      </w:r>
    </w:p>
    <w:p w:rsidR="006717EA" w:rsidRDefault="006717EA">
      <w:pPr>
        <w:spacing w:after="0" w:line="240" w:lineRule="auto"/>
        <w:ind w:firstLine="709"/>
        <w:jc w:val="both"/>
        <w:outlineLvl w:val="1"/>
        <w:rPr>
          <w:rFonts w:ascii="Times New Roman" w:hAnsi="Times New Roman" w:cs="Times New Roman"/>
          <w:sz w:val="24"/>
          <w:szCs w:val="24"/>
        </w:rPr>
      </w:pPr>
    </w:p>
    <w:p w:rsidR="006717EA" w:rsidRDefault="006717EA" w:rsidP="006717EA">
      <w:pPr>
        <w:pStyle w:val="Default"/>
        <w:ind w:firstLine="709"/>
        <w:jc w:val="both"/>
        <w:rPr>
          <w:i/>
          <w:color w:val="auto"/>
        </w:rPr>
      </w:pPr>
      <w:bookmarkStart w:id="4" w:name="OLE_LINK6"/>
      <w:bookmarkStart w:id="5" w:name="OLE_LINK7"/>
      <w:r>
        <w:rPr>
          <w:i/>
          <w:color w:val="auto"/>
        </w:rPr>
        <w:t xml:space="preserve">Таким образом, по результатам анализа текстовой части проекта решения, соответствие предлагаемых к утверждению положений подтверждается требованиям бюджетного законодательства. </w:t>
      </w:r>
    </w:p>
    <w:p w:rsidR="006717EA" w:rsidRDefault="006717EA" w:rsidP="006717EA">
      <w:pPr>
        <w:pStyle w:val="Default"/>
        <w:ind w:firstLine="709"/>
        <w:jc w:val="both"/>
        <w:rPr>
          <w:i/>
          <w:color w:val="auto"/>
        </w:rPr>
      </w:pPr>
      <w:r>
        <w:rPr>
          <w:i/>
          <w:color w:val="auto"/>
        </w:rPr>
        <w:t>Значения всех характеристик бюджета, указанных в текстовой части проекта решения о бюджете соответствует значениям этих показателей в приложениях к проекту решения.</w:t>
      </w:r>
    </w:p>
    <w:bookmarkEnd w:id="4"/>
    <w:bookmarkEnd w:id="5"/>
    <w:p w:rsidR="00D77600" w:rsidRDefault="00D77600">
      <w:pPr>
        <w:spacing w:after="0" w:line="240" w:lineRule="auto"/>
        <w:ind w:firstLine="709"/>
        <w:jc w:val="both"/>
        <w:rPr>
          <w:rFonts w:ascii="Times New Roman" w:hAnsi="Times New Roman" w:cs="Times New Roman"/>
          <w:sz w:val="24"/>
          <w:szCs w:val="24"/>
        </w:rPr>
      </w:pPr>
    </w:p>
    <w:p w:rsidR="00D77600" w:rsidRDefault="009D4E5A">
      <w:pPr>
        <w:pStyle w:val="Default"/>
        <w:ind w:firstLine="709"/>
        <w:jc w:val="center"/>
        <w:rPr>
          <w:b/>
          <w:bCs/>
          <w:color w:val="auto"/>
        </w:rPr>
      </w:pPr>
      <w:r>
        <w:rPr>
          <w:b/>
          <w:bCs/>
          <w:color w:val="auto"/>
        </w:rPr>
        <w:t>2.2. Анализ перечня и содержания документов, представленных одновременно</w:t>
      </w:r>
    </w:p>
    <w:p w:rsidR="00D77600" w:rsidRDefault="009D4E5A">
      <w:pPr>
        <w:pStyle w:val="Default"/>
        <w:ind w:firstLine="709"/>
        <w:jc w:val="center"/>
        <w:rPr>
          <w:b/>
          <w:bCs/>
          <w:color w:val="auto"/>
        </w:rPr>
      </w:pPr>
      <w:r>
        <w:rPr>
          <w:b/>
          <w:bCs/>
          <w:color w:val="auto"/>
        </w:rPr>
        <w:t>с проектом бюджета на 202</w:t>
      </w:r>
      <w:r w:rsidR="00E12125">
        <w:rPr>
          <w:b/>
          <w:bCs/>
          <w:color w:val="auto"/>
        </w:rPr>
        <w:t>4</w:t>
      </w:r>
      <w:r>
        <w:rPr>
          <w:b/>
          <w:bCs/>
          <w:color w:val="auto"/>
        </w:rPr>
        <w:t xml:space="preserve"> год </w:t>
      </w:r>
      <w:r>
        <w:rPr>
          <w:b/>
          <w:color w:val="auto"/>
        </w:rPr>
        <w:t>и на плановый период 202</w:t>
      </w:r>
      <w:r w:rsidR="00E12125">
        <w:rPr>
          <w:b/>
          <w:color w:val="auto"/>
        </w:rPr>
        <w:t>5</w:t>
      </w:r>
      <w:r>
        <w:rPr>
          <w:b/>
          <w:color w:val="auto"/>
        </w:rPr>
        <w:t xml:space="preserve"> и 202</w:t>
      </w:r>
      <w:r w:rsidR="00E12125">
        <w:rPr>
          <w:b/>
          <w:color w:val="auto"/>
        </w:rPr>
        <w:t>6</w:t>
      </w:r>
      <w:r>
        <w:rPr>
          <w:b/>
          <w:color w:val="auto"/>
        </w:rPr>
        <w:t xml:space="preserve"> годов</w:t>
      </w:r>
      <w:r>
        <w:rPr>
          <w:b/>
          <w:bCs/>
          <w:color w:val="auto"/>
        </w:rPr>
        <w:t>.</w:t>
      </w:r>
    </w:p>
    <w:p w:rsidR="00D77600" w:rsidRDefault="00D77600">
      <w:pPr>
        <w:pStyle w:val="Default"/>
        <w:ind w:firstLine="709"/>
        <w:jc w:val="center"/>
        <w:rPr>
          <w:color w:val="auto"/>
        </w:rPr>
      </w:pPr>
    </w:p>
    <w:p w:rsidR="00D77600" w:rsidRDefault="009D4E5A">
      <w:pPr>
        <w:pStyle w:val="Default"/>
        <w:ind w:firstLine="709"/>
        <w:jc w:val="both"/>
        <w:rPr>
          <w:color w:val="auto"/>
        </w:rPr>
      </w:pPr>
      <w:r>
        <w:rPr>
          <w:color w:val="auto"/>
        </w:rPr>
        <w:t xml:space="preserve">Перечень, содержание документов и материалов, которые в соответствии со ст. 184.2 БК РФ, ст.11, 14 Положения о бюджетном процессе в </w:t>
      </w:r>
      <w:r>
        <w:t>Вольновском</w:t>
      </w:r>
      <w:r>
        <w:rPr>
          <w:color w:val="auto"/>
        </w:rPr>
        <w:t xml:space="preserve"> сельском поселении должны представляться одновременно с проектом бюджета, соответствуют требованиям бюджетного законодательства. </w:t>
      </w:r>
    </w:p>
    <w:p w:rsidR="00D77600" w:rsidRDefault="009D4E5A">
      <w:pPr>
        <w:pStyle w:val="Default"/>
        <w:ind w:firstLine="709"/>
        <w:jc w:val="both"/>
        <w:rPr>
          <w:color w:val="auto"/>
        </w:rPr>
      </w:pPr>
      <w:r w:rsidRPr="00E12125">
        <w:rPr>
          <w:b/>
          <w:color w:val="auto"/>
        </w:rPr>
        <w:t>Основные направления бюджетной и налоговой политики</w:t>
      </w:r>
      <w:r>
        <w:rPr>
          <w:color w:val="auto"/>
        </w:rPr>
        <w:t xml:space="preserve"> муниципального образования на 202</w:t>
      </w:r>
      <w:r w:rsidR="00E12125">
        <w:rPr>
          <w:color w:val="auto"/>
        </w:rPr>
        <w:t>4</w:t>
      </w:r>
      <w:r>
        <w:rPr>
          <w:color w:val="auto"/>
        </w:rPr>
        <w:t xml:space="preserve"> год и на плановый период 202</w:t>
      </w:r>
      <w:r w:rsidR="00E12125">
        <w:rPr>
          <w:color w:val="auto"/>
        </w:rPr>
        <w:t>5</w:t>
      </w:r>
      <w:r>
        <w:rPr>
          <w:color w:val="auto"/>
        </w:rPr>
        <w:t xml:space="preserve"> и 202</w:t>
      </w:r>
      <w:r w:rsidR="00E12125">
        <w:rPr>
          <w:color w:val="auto"/>
        </w:rPr>
        <w:t>6</w:t>
      </w:r>
      <w:r>
        <w:rPr>
          <w:color w:val="auto"/>
        </w:rPr>
        <w:t xml:space="preserve"> годов утверждены распоряжением администрации от </w:t>
      </w:r>
      <w:r w:rsidR="00E12125">
        <w:rPr>
          <w:color w:val="auto"/>
        </w:rPr>
        <w:t>29</w:t>
      </w:r>
      <w:r>
        <w:rPr>
          <w:color w:val="auto"/>
        </w:rPr>
        <w:t>.0</w:t>
      </w:r>
      <w:r w:rsidR="00E12125">
        <w:rPr>
          <w:color w:val="auto"/>
        </w:rPr>
        <w:t>8</w:t>
      </w:r>
      <w:r>
        <w:rPr>
          <w:color w:val="auto"/>
        </w:rPr>
        <w:t>.202</w:t>
      </w:r>
      <w:r w:rsidR="00E12125">
        <w:rPr>
          <w:color w:val="auto"/>
        </w:rPr>
        <w:t>3</w:t>
      </w:r>
      <w:r>
        <w:rPr>
          <w:color w:val="auto"/>
        </w:rPr>
        <w:t xml:space="preserve"> года №</w:t>
      </w:r>
      <w:r w:rsidR="00E12125">
        <w:rPr>
          <w:color w:val="auto"/>
        </w:rPr>
        <w:t xml:space="preserve"> 2</w:t>
      </w:r>
      <w:r>
        <w:rPr>
          <w:color w:val="auto"/>
        </w:rPr>
        <w:t>8.</w:t>
      </w:r>
    </w:p>
    <w:p w:rsidR="00D77600" w:rsidRDefault="009D4E5A">
      <w:pPr>
        <w:pStyle w:val="Default"/>
        <w:ind w:firstLine="709"/>
        <w:jc w:val="both"/>
        <w:rPr>
          <w:color w:val="auto"/>
        </w:rPr>
      </w:pPr>
      <w:r>
        <w:rPr>
          <w:color w:val="auto"/>
        </w:rPr>
        <w:t>Как следует из Основных направлений, бюджетной и  налоговой политики основной целью является сбалансированность и устойчивость бюджета, а также обеспечение прозрачности и открытости бюджетного планирования.</w:t>
      </w:r>
    </w:p>
    <w:p w:rsidR="00D77600" w:rsidRDefault="009D4E5A">
      <w:pPr>
        <w:pStyle w:val="Default"/>
        <w:ind w:firstLine="709"/>
        <w:jc w:val="both"/>
        <w:rPr>
          <w:color w:val="auto"/>
        </w:rPr>
      </w:pPr>
      <w:r>
        <w:rPr>
          <w:color w:val="auto"/>
        </w:rPr>
        <w:t>Основными задачами налоговой  политики муниципального образования  на 202</w:t>
      </w:r>
      <w:r w:rsidR="00E12125">
        <w:rPr>
          <w:color w:val="auto"/>
        </w:rPr>
        <w:t>4</w:t>
      </w:r>
      <w:r>
        <w:rPr>
          <w:color w:val="auto"/>
        </w:rPr>
        <w:t>-202</w:t>
      </w:r>
      <w:r w:rsidR="00E12125">
        <w:rPr>
          <w:color w:val="auto"/>
        </w:rPr>
        <w:t>6</w:t>
      </w:r>
      <w:r>
        <w:rPr>
          <w:color w:val="auto"/>
        </w:rPr>
        <w:t xml:space="preserve"> годы  являются, обеспечение сбалансированности и устойчивости местного бюджета, обеспечение стабильности поступления доходов бюджет района, поддержка предпринимательской активности, совершенствование налогового администрирования и поддержание сбалансированности бюджета района.</w:t>
      </w:r>
    </w:p>
    <w:p w:rsidR="00D77600" w:rsidRDefault="009D4E5A">
      <w:pPr>
        <w:pStyle w:val="Default"/>
        <w:ind w:firstLine="709"/>
        <w:jc w:val="both"/>
        <w:rPr>
          <w:color w:val="auto"/>
        </w:rPr>
      </w:pPr>
      <w:r>
        <w:rPr>
          <w:color w:val="auto"/>
        </w:rPr>
        <w:lastRenderedPageBreak/>
        <w:t xml:space="preserve">Согласно п.2 ст.173 БК РФ </w:t>
      </w:r>
      <w:r w:rsidRPr="00E12125">
        <w:rPr>
          <w:b/>
          <w:color w:val="auto"/>
        </w:rPr>
        <w:t>прогноз социально-экономического развития</w:t>
      </w:r>
      <w:r>
        <w:rPr>
          <w:color w:val="auto"/>
        </w:rPr>
        <w:t xml:space="preserve"> муниципального образования ежегодно разрабатывается в порядке, установленном местной администрацией. </w:t>
      </w:r>
      <w:r>
        <w:t>Прогноз социально-экономического развития поселения на</w:t>
      </w:r>
      <w:r w:rsidR="00E12125">
        <w:t xml:space="preserve"> 2024</w:t>
      </w:r>
      <w:r>
        <w:t>–202</w:t>
      </w:r>
      <w:r w:rsidR="00E12125">
        <w:t>6</w:t>
      </w:r>
      <w:r>
        <w:t xml:space="preserve"> годы  одобрен распоряжением администрации Вольновского сельского поселения от </w:t>
      </w:r>
      <w:r w:rsidR="00E12125">
        <w:t>13</w:t>
      </w:r>
      <w:r>
        <w:t>.11.202</w:t>
      </w:r>
      <w:r w:rsidR="00E12125">
        <w:t>3</w:t>
      </w:r>
      <w:r>
        <w:t xml:space="preserve"> г. (далее – Прогноз), что соответствует п. 3 ст. 173 БК РФ, и ст.7 Положения о бюджетном процессе согласно которым прогноз одобряется одновременно с принятием решения о внесении проекта бюджета в представительный орган.</w:t>
      </w:r>
    </w:p>
    <w:p w:rsidR="00D77600" w:rsidRDefault="009D4E5A">
      <w:pPr>
        <w:pStyle w:val="Default"/>
        <w:ind w:firstLine="709"/>
        <w:jc w:val="both"/>
        <w:rPr>
          <w:color w:val="auto"/>
        </w:rPr>
      </w:pPr>
      <w:r>
        <w:rPr>
          <w:color w:val="auto"/>
        </w:rPr>
        <w:t>В соответствии со ст.169 БК РФ, проект бюджета составляется на основе прогноза социально-экономического развития в целях финансового обеспечения расходных обязательств. Надежность показателей прогноза социально-экономического развития является важнейшей составляющей принципа достоверности бюджета, определенного ст.37 БК РФ.</w:t>
      </w:r>
    </w:p>
    <w:p w:rsidR="00D77600" w:rsidRDefault="009D4E5A">
      <w:pPr>
        <w:pStyle w:val="Default"/>
        <w:ind w:firstLine="709"/>
        <w:jc w:val="both"/>
        <w:rPr>
          <w:color w:val="auto"/>
        </w:rPr>
      </w:pPr>
      <w:r>
        <w:rPr>
          <w:color w:val="auto"/>
        </w:rPr>
        <w:t xml:space="preserve">Согласно </w:t>
      </w:r>
      <w:r w:rsidRPr="00E12125">
        <w:rPr>
          <w:b/>
          <w:color w:val="auto"/>
        </w:rPr>
        <w:t>Оценке ожидаемого исполнения бюджета поселения</w:t>
      </w:r>
      <w:r>
        <w:rPr>
          <w:color w:val="auto"/>
        </w:rPr>
        <w:t xml:space="preserve"> по итогам 202</w:t>
      </w:r>
      <w:r w:rsidR="00E12125">
        <w:rPr>
          <w:color w:val="auto"/>
        </w:rPr>
        <w:t>3</w:t>
      </w:r>
      <w:r>
        <w:rPr>
          <w:color w:val="auto"/>
        </w:rPr>
        <w:t xml:space="preserve"> года исполнение доходной </w:t>
      </w:r>
      <w:r w:rsidR="00E12125">
        <w:rPr>
          <w:color w:val="auto"/>
        </w:rPr>
        <w:t>части бюджета предусмотрено с ростом а</w:t>
      </w:r>
      <w:r>
        <w:rPr>
          <w:color w:val="auto"/>
        </w:rPr>
        <w:t xml:space="preserve"> расходной част</w:t>
      </w:r>
      <w:r w:rsidR="00E12125">
        <w:rPr>
          <w:color w:val="auto"/>
        </w:rPr>
        <w:t>и</w:t>
      </w:r>
      <w:r>
        <w:rPr>
          <w:color w:val="auto"/>
        </w:rPr>
        <w:t xml:space="preserve"> бюджета предусмотрено в пределах показателей, утвержденных Решением Совета от </w:t>
      </w:r>
      <w:r w:rsidR="00E12125">
        <w:rPr>
          <w:color w:val="auto"/>
        </w:rPr>
        <w:t>28</w:t>
      </w:r>
      <w:r>
        <w:rPr>
          <w:color w:val="auto"/>
        </w:rPr>
        <w:t>.11.202</w:t>
      </w:r>
      <w:r w:rsidR="00E12125">
        <w:rPr>
          <w:color w:val="auto"/>
        </w:rPr>
        <w:t>2</w:t>
      </w:r>
      <w:r>
        <w:rPr>
          <w:color w:val="auto"/>
        </w:rPr>
        <w:t xml:space="preserve"> №4</w:t>
      </w:r>
      <w:r w:rsidR="00E12125">
        <w:rPr>
          <w:color w:val="auto"/>
        </w:rPr>
        <w:t>3</w:t>
      </w:r>
      <w:r>
        <w:rPr>
          <w:color w:val="auto"/>
        </w:rPr>
        <w:t xml:space="preserve"> «О бюджете сельского поселения на 202</w:t>
      </w:r>
      <w:r w:rsidR="00E12125">
        <w:rPr>
          <w:color w:val="auto"/>
        </w:rPr>
        <w:t>3</w:t>
      </w:r>
      <w:r>
        <w:rPr>
          <w:color w:val="auto"/>
        </w:rPr>
        <w:t xml:space="preserve"> год и плановый период 202</w:t>
      </w:r>
      <w:r w:rsidR="00E12125">
        <w:rPr>
          <w:color w:val="auto"/>
        </w:rPr>
        <w:t>4</w:t>
      </w:r>
      <w:r>
        <w:rPr>
          <w:color w:val="auto"/>
        </w:rPr>
        <w:t xml:space="preserve"> и 202</w:t>
      </w:r>
      <w:r w:rsidR="00E12125">
        <w:rPr>
          <w:color w:val="auto"/>
        </w:rPr>
        <w:t>5</w:t>
      </w:r>
      <w:r>
        <w:rPr>
          <w:color w:val="auto"/>
        </w:rPr>
        <w:t xml:space="preserve"> годов»</w:t>
      </w:r>
      <w:r w:rsidR="00D737C0">
        <w:rPr>
          <w:color w:val="auto"/>
        </w:rPr>
        <w:t xml:space="preserve"> </w:t>
      </w:r>
      <w:r>
        <w:rPr>
          <w:color w:val="auto"/>
        </w:rPr>
        <w:t xml:space="preserve">в редакции от </w:t>
      </w:r>
      <w:r w:rsidR="00E12125">
        <w:rPr>
          <w:color w:val="auto"/>
        </w:rPr>
        <w:t>28</w:t>
      </w:r>
      <w:r>
        <w:rPr>
          <w:color w:val="auto"/>
        </w:rPr>
        <w:t>.0</w:t>
      </w:r>
      <w:r w:rsidR="00E12125">
        <w:rPr>
          <w:color w:val="auto"/>
        </w:rPr>
        <w:t>9</w:t>
      </w:r>
      <w:r>
        <w:rPr>
          <w:color w:val="auto"/>
        </w:rPr>
        <w:t>.202</w:t>
      </w:r>
      <w:r w:rsidR="00E12125">
        <w:rPr>
          <w:color w:val="auto"/>
        </w:rPr>
        <w:t>3.</w:t>
      </w:r>
      <w:r>
        <w:rPr>
          <w:color w:val="auto"/>
        </w:rPr>
        <w:t xml:space="preserve">  </w:t>
      </w:r>
    </w:p>
    <w:p w:rsidR="00D77600" w:rsidRDefault="009D4E5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Рассмотрев направленный проект бюджета, пояснительную записку и справочный материал к проекту бюджета, а также другие документы, представленные одновременно с проектом бюджета контрольно-счетный орган муниципального образования отмечает следующее.</w:t>
      </w:r>
    </w:p>
    <w:p w:rsidR="00D77600" w:rsidRDefault="009D4E5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3.Основные характеристики проекта решения «О бюджете </w:t>
      </w:r>
      <w:r w:rsidR="00D737C0">
        <w:rPr>
          <w:rFonts w:ascii="Times New Roman" w:hAnsi="Times New Roman" w:cs="Times New Roman"/>
          <w:b/>
          <w:sz w:val="24"/>
          <w:szCs w:val="24"/>
        </w:rPr>
        <w:t>сельского поселения</w:t>
      </w:r>
      <w:r>
        <w:rPr>
          <w:rFonts w:ascii="Times New Roman" w:hAnsi="Times New Roman" w:cs="Times New Roman"/>
          <w:b/>
          <w:sz w:val="24"/>
          <w:szCs w:val="24"/>
        </w:rPr>
        <w:t xml:space="preserve"> на 202</w:t>
      </w:r>
      <w:r w:rsidR="00D737C0">
        <w:rPr>
          <w:rFonts w:ascii="Times New Roman" w:hAnsi="Times New Roman" w:cs="Times New Roman"/>
          <w:b/>
          <w:sz w:val="24"/>
          <w:szCs w:val="24"/>
        </w:rPr>
        <w:t>4</w:t>
      </w:r>
      <w:r>
        <w:rPr>
          <w:rFonts w:ascii="Times New Roman" w:hAnsi="Times New Roman" w:cs="Times New Roman"/>
          <w:b/>
          <w:sz w:val="24"/>
          <w:szCs w:val="24"/>
        </w:rPr>
        <w:t xml:space="preserve"> год и плановый период 202</w:t>
      </w:r>
      <w:r w:rsidR="00D737C0">
        <w:rPr>
          <w:rFonts w:ascii="Times New Roman" w:hAnsi="Times New Roman" w:cs="Times New Roman"/>
          <w:b/>
          <w:sz w:val="24"/>
          <w:szCs w:val="24"/>
        </w:rPr>
        <w:t>5</w:t>
      </w:r>
      <w:r>
        <w:rPr>
          <w:rFonts w:ascii="Times New Roman" w:hAnsi="Times New Roman" w:cs="Times New Roman"/>
          <w:b/>
          <w:sz w:val="24"/>
          <w:szCs w:val="24"/>
        </w:rPr>
        <w:t xml:space="preserve"> и 202</w:t>
      </w:r>
      <w:r w:rsidR="00D737C0">
        <w:rPr>
          <w:rFonts w:ascii="Times New Roman" w:hAnsi="Times New Roman" w:cs="Times New Roman"/>
          <w:b/>
          <w:sz w:val="24"/>
          <w:szCs w:val="24"/>
        </w:rPr>
        <w:t>6</w:t>
      </w:r>
      <w:r>
        <w:rPr>
          <w:rFonts w:ascii="Times New Roman" w:hAnsi="Times New Roman" w:cs="Times New Roman"/>
          <w:b/>
          <w:sz w:val="24"/>
          <w:szCs w:val="24"/>
        </w:rPr>
        <w:t xml:space="preserve"> годов»</w:t>
      </w:r>
    </w:p>
    <w:p w:rsidR="00E8090E" w:rsidRPr="00E8090E" w:rsidRDefault="00E8090E" w:rsidP="00E8090E">
      <w:pPr>
        <w:spacing w:after="0" w:line="240" w:lineRule="auto"/>
        <w:ind w:firstLine="709"/>
        <w:jc w:val="both"/>
        <w:rPr>
          <w:rFonts w:ascii="Times New Roman" w:hAnsi="Times New Roman" w:cs="Times New Roman"/>
          <w:sz w:val="24"/>
          <w:szCs w:val="24"/>
        </w:rPr>
      </w:pPr>
      <w:bookmarkStart w:id="6" w:name="OLE_LINK8"/>
      <w:bookmarkStart w:id="7" w:name="OLE_LINK9"/>
      <w:r w:rsidRPr="00E8090E">
        <w:rPr>
          <w:rFonts w:ascii="Times New Roman" w:hAnsi="Times New Roman" w:cs="Times New Roman"/>
          <w:sz w:val="24"/>
          <w:szCs w:val="24"/>
        </w:rPr>
        <w:t>Основные характеристики бюджета поселения на 2024 год и на плановый период 2025 и 2026 годов сформированы в соответствии с:</w:t>
      </w:r>
    </w:p>
    <w:p w:rsidR="00E8090E" w:rsidRPr="00E8090E" w:rsidRDefault="00E8090E" w:rsidP="00E8090E">
      <w:pPr>
        <w:spacing w:after="0" w:line="240" w:lineRule="auto"/>
        <w:ind w:firstLine="709"/>
        <w:jc w:val="both"/>
        <w:rPr>
          <w:rFonts w:ascii="Times New Roman" w:hAnsi="Times New Roman" w:cs="Times New Roman"/>
          <w:sz w:val="24"/>
          <w:szCs w:val="24"/>
        </w:rPr>
      </w:pPr>
      <w:r w:rsidRPr="00E8090E">
        <w:rPr>
          <w:rFonts w:ascii="Times New Roman" w:hAnsi="Times New Roman" w:cs="Times New Roman"/>
          <w:sz w:val="24"/>
          <w:szCs w:val="24"/>
        </w:rPr>
        <w:t xml:space="preserve">- основными направлениями бюджетной и налоговой политики Вольновского сельского поселения на 2024 год и на плановый период 2025 и 2026 годов; </w:t>
      </w:r>
    </w:p>
    <w:p w:rsidR="00E8090E" w:rsidRPr="00E8090E" w:rsidRDefault="00E8090E" w:rsidP="00E8090E">
      <w:pPr>
        <w:spacing w:after="0" w:line="240" w:lineRule="auto"/>
        <w:ind w:firstLine="709"/>
        <w:jc w:val="both"/>
        <w:rPr>
          <w:rFonts w:ascii="Times New Roman" w:hAnsi="Times New Roman" w:cs="Times New Roman"/>
          <w:sz w:val="24"/>
          <w:szCs w:val="24"/>
        </w:rPr>
      </w:pPr>
      <w:r w:rsidRPr="00E8090E">
        <w:rPr>
          <w:rFonts w:ascii="Times New Roman" w:hAnsi="Times New Roman" w:cs="Times New Roman"/>
          <w:sz w:val="24"/>
          <w:szCs w:val="24"/>
        </w:rPr>
        <w:t>- основными показателями прогноза социально-экономического развития Вольновского сельского поселения на 2024 -2026 годы;</w:t>
      </w:r>
    </w:p>
    <w:p w:rsidR="00E8090E" w:rsidRPr="00E8090E" w:rsidRDefault="00E8090E" w:rsidP="00E8090E">
      <w:pPr>
        <w:spacing w:after="0" w:line="240" w:lineRule="auto"/>
        <w:ind w:firstLine="709"/>
        <w:jc w:val="both"/>
        <w:rPr>
          <w:rFonts w:ascii="Times New Roman" w:hAnsi="Times New Roman" w:cs="Times New Roman"/>
          <w:sz w:val="24"/>
          <w:szCs w:val="24"/>
        </w:rPr>
      </w:pPr>
      <w:r w:rsidRPr="00E8090E">
        <w:rPr>
          <w:rFonts w:ascii="Times New Roman" w:hAnsi="Times New Roman" w:cs="Times New Roman"/>
          <w:sz w:val="24"/>
          <w:szCs w:val="24"/>
        </w:rPr>
        <w:t>- муниципальными программами Вольновского сельского поселения, проектами изменений указанных программ.</w:t>
      </w:r>
    </w:p>
    <w:bookmarkEnd w:id="6"/>
    <w:bookmarkEnd w:id="7"/>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Данные об основных характеристиках местного бюджета на 202</w:t>
      </w:r>
      <w:r w:rsidR="00D737C0">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D737C0">
        <w:rPr>
          <w:rFonts w:ascii="Times New Roman" w:hAnsi="Times New Roman" w:cs="Times New Roman"/>
          <w:sz w:val="24"/>
          <w:szCs w:val="24"/>
        </w:rPr>
        <w:t>5</w:t>
      </w:r>
      <w:r>
        <w:rPr>
          <w:rFonts w:ascii="Times New Roman" w:hAnsi="Times New Roman" w:cs="Times New Roman"/>
          <w:sz w:val="24"/>
          <w:szCs w:val="24"/>
        </w:rPr>
        <w:t xml:space="preserve"> и 202</w:t>
      </w:r>
      <w:r w:rsidR="00D737C0">
        <w:rPr>
          <w:rFonts w:ascii="Times New Roman" w:hAnsi="Times New Roman" w:cs="Times New Roman"/>
          <w:sz w:val="24"/>
          <w:szCs w:val="24"/>
        </w:rPr>
        <w:t>6</w:t>
      </w:r>
      <w:r>
        <w:rPr>
          <w:rFonts w:ascii="Times New Roman" w:hAnsi="Times New Roman" w:cs="Times New Roman"/>
          <w:sz w:val="24"/>
          <w:szCs w:val="24"/>
        </w:rPr>
        <w:t xml:space="preserve"> годов в сравнении с 202</w:t>
      </w:r>
      <w:r w:rsidR="00D737C0">
        <w:rPr>
          <w:rFonts w:ascii="Times New Roman" w:hAnsi="Times New Roman" w:cs="Times New Roman"/>
          <w:sz w:val="24"/>
          <w:szCs w:val="24"/>
        </w:rPr>
        <w:t>3</w:t>
      </w:r>
      <w:r>
        <w:rPr>
          <w:rFonts w:ascii="Times New Roman" w:hAnsi="Times New Roman" w:cs="Times New Roman"/>
          <w:sz w:val="24"/>
          <w:szCs w:val="24"/>
        </w:rPr>
        <w:t xml:space="preserve"> годом представлены в таблице.</w:t>
      </w:r>
    </w:p>
    <w:tbl>
      <w:tblPr>
        <w:tblStyle w:val="af3"/>
        <w:tblW w:w="9571" w:type="dxa"/>
        <w:tblLayout w:type="fixed"/>
        <w:tblLook w:val="04A0"/>
      </w:tblPr>
      <w:tblGrid>
        <w:gridCol w:w="1042"/>
        <w:gridCol w:w="1051"/>
        <w:gridCol w:w="1338"/>
        <w:gridCol w:w="1213"/>
        <w:gridCol w:w="851"/>
        <w:gridCol w:w="709"/>
        <w:gridCol w:w="992"/>
        <w:gridCol w:w="709"/>
        <w:gridCol w:w="992"/>
        <w:gridCol w:w="674"/>
      </w:tblGrid>
      <w:tr w:rsidR="00D77600" w:rsidTr="007F275B">
        <w:tc>
          <w:tcPr>
            <w:tcW w:w="1042" w:type="dxa"/>
            <w:vMerge w:val="restart"/>
          </w:tcPr>
          <w:p w:rsidR="00D77600" w:rsidRPr="004A5C0B" w:rsidRDefault="004A5C0B">
            <w:pPr>
              <w:spacing w:after="0" w:line="240" w:lineRule="auto"/>
              <w:rPr>
                <w:rFonts w:ascii="Times New Roman" w:hAnsi="Times New Roman" w:cs="Times New Roman"/>
                <w:sz w:val="24"/>
                <w:szCs w:val="24"/>
                <w:vertAlign w:val="superscript"/>
              </w:rPr>
            </w:pPr>
            <w:r w:rsidRPr="004A5C0B">
              <w:rPr>
                <w:rFonts w:ascii="Times New Roman" w:hAnsi="Times New Roman" w:cs="Times New Roman"/>
                <w:sz w:val="24"/>
                <w:szCs w:val="24"/>
                <w:vertAlign w:val="superscript"/>
              </w:rPr>
              <w:t>Наименование показателя</w:t>
            </w:r>
          </w:p>
        </w:tc>
        <w:tc>
          <w:tcPr>
            <w:tcW w:w="1051" w:type="dxa"/>
            <w:vMerge w:val="restart"/>
          </w:tcPr>
          <w:p w:rsidR="00D77600" w:rsidRDefault="009D4E5A" w:rsidP="00D737C0">
            <w:pPr>
              <w:spacing w:after="0" w:line="240" w:lineRule="auto"/>
              <w:jc w:val="both"/>
              <w:rPr>
                <w:sz w:val="24"/>
                <w:szCs w:val="24"/>
                <w:vertAlign w:val="superscript"/>
              </w:rPr>
            </w:pPr>
            <w:r>
              <w:rPr>
                <w:rFonts w:ascii="Times New Roman" w:eastAsia="Times New Roman" w:hAnsi="Times New Roman" w:cs="Times New Roman"/>
                <w:sz w:val="24"/>
                <w:szCs w:val="24"/>
                <w:vertAlign w:val="superscript"/>
              </w:rPr>
              <w:t xml:space="preserve">Первоначальная редакция </w:t>
            </w:r>
            <w:r>
              <w:rPr>
                <w:rFonts w:ascii="Times New Roman" w:hAnsi="Times New Roman" w:cs="Times New Roman"/>
                <w:sz w:val="24"/>
                <w:szCs w:val="24"/>
                <w:vertAlign w:val="superscript"/>
              </w:rPr>
              <w:t xml:space="preserve">решение Совета от </w:t>
            </w:r>
            <w:r w:rsidR="00D737C0">
              <w:rPr>
                <w:rFonts w:ascii="Times New Roman" w:hAnsi="Times New Roman" w:cs="Times New Roman"/>
                <w:sz w:val="24"/>
                <w:szCs w:val="24"/>
                <w:vertAlign w:val="superscript"/>
              </w:rPr>
              <w:t>28</w:t>
            </w:r>
            <w:r>
              <w:rPr>
                <w:rFonts w:ascii="Times New Roman" w:hAnsi="Times New Roman" w:cs="Times New Roman"/>
                <w:sz w:val="24"/>
                <w:szCs w:val="24"/>
                <w:vertAlign w:val="superscript"/>
              </w:rPr>
              <w:t>.11.202</w:t>
            </w:r>
            <w:r w:rsidR="00D737C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00C16424">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4</w:t>
            </w:r>
            <w:r w:rsidR="00D737C0">
              <w:rPr>
                <w:rFonts w:ascii="Times New Roman" w:hAnsi="Times New Roman" w:cs="Times New Roman"/>
                <w:sz w:val="24"/>
                <w:szCs w:val="24"/>
                <w:vertAlign w:val="superscript"/>
              </w:rPr>
              <w:t>3</w:t>
            </w:r>
          </w:p>
        </w:tc>
        <w:tc>
          <w:tcPr>
            <w:tcW w:w="1338" w:type="dxa"/>
            <w:vMerge w:val="restart"/>
          </w:tcPr>
          <w:p w:rsidR="00D77600" w:rsidRDefault="00D77600">
            <w:pPr>
              <w:spacing w:after="0" w:line="240" w:lineRule="auto"/>
              <w:jc w:val="both"/>
              <w:rPr>
                <w:sz w:val="24"/>
                <w:szCs w:val="24"/>
                <w:vertAlign w:val="superscript"/>
              </w:rPr>
            </w:pPr>
          </w:p>
          <w:p w:rsidR="00D77600" w:rsidRDefault="009D4E5A" w:rsidP="00D737C0">
            <w:pPr>
              <w:spacing w:after="0" w:line="240" w:lineRule="auto"/>
              <w:jc w:val="both"/>
              <w:rPr>
                <w:sz w:val="24"/>
                <w:szCs w:val="24"/>
                <w:vertAlign w:val="superscript"/>
              </w:rPr>
            </w:pPr>
            <w:r>
              <w:rPr>
                <w:rFonts w:ascii="Times New Roman" w:eastAsia="Times New Roman" w:hAnsi="Times New Roman" w:cs="Times New Roman"/>
                <w:sz w:val="24"/>
                <w:szCs w:val="24"/>
                <w:vertAlign w:val="superscript"/>
              </w:rPr>
              <w:t xml:space="preserve">С учетом изменений (ред. от </w:t>
            </w:r>
            <w:r w:rsidR="00D737C0">
              <w:rPr>
                <w:rFonts w:ascii="Times New Roman" w:eastAsia="Times New Roman" w:hAnsi="Times New Roman" w:cs="Times New Roman"/>
                <w:sz w:val="24"/>
                <w:szCs w:val="24"/>
                <w:vertAlign w:val="superscript"/>
              </w:rPr>
              <w:t>28</w:t>
            </w:r>
            <w:r>
              <w:rPr>
                <w:rFonts w:ascii="Times New Roman" w:eastAsia="Times New Roman" w:hAnsi="Times New Roman" w:cs="Times New Roman"/>
                <w:sz w:val="24"/>
                <w:szCs w:val="24"/>
                <w:vertAlign w:val="superscript"/>
              </w:rPr>
              <w:t>.09.202</w:t>
            </w:r>
            <w:r w:rsidR="00D737C0">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vertAlign w:val="superscript"/>
              </w:rPr>
              <w:t xml:space="preserve">г </w:t>
            </w:r>
          </w:p>
        </w:tc>
        <w:tc>
          <w:tcPr>
            <w:tcW w:w="2773" w:type="dxa"/>
            <w:gridSpan w:val="3"/>
          </w:tcPr>
          <w:p w:rsidR="00D77600" w:rsidRDefault="009D4E5A" w:rsidP="00D737C0">
            <w:pPr>
              <w:spacing w:after="0" w:line="240" w:lineRule="auto"/>
              <w:jc w:val="both"/>
              <w:rPr>
                <w:sz w:val="24"/>
                <w:szCs w:val="24"/>
                <w:vertAlign w:val="superscript"/>
              </w:rPr>
            </w:pPr>
            <w:r>
              <w:rPr>
                <w:rFonts w:ascii="Times New Roman" w:eastAsia="Times New Roman" w:hAnsi="Times New Roman" w:cs="Times New Roman"/>
                <w:sz w:val="24"/>
                <w:szCs w:val="24"/>
                <w:vertAlign w:val="superscript"/>
              </w:rPr>
              <w:t>на 202</w:t>
            </w:r>
            <w:r w:rsidR="00D737C0">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 xml:space="preserve"> год</w:t>
            </w:r>
          </w:p>
        </w:tc>
        <w:tc>
          <w:tcPr>
            <w:tcW w:w="1701" w:type="dxa"/>
            <w:gridSpan w:val="2"/>
          </w:tcPr>
          <w:p w:rsidR="00D77600" w:rsidRDefault="009D4E5A" w:rsidP="00D737C0">
            <w:pPr>
              <w:spacing w:after="0" w:line="240" w:lineRule="auto"/>
              <w:jc w:val="both"/>
              <w:rPr>
                <w:sz w:val="24"/>
                <w:szCs w:val="24"/>
                <w:vertAlign w:val="superscript"/>
              </w:rPr>
            </w:pPr>
            <w:r>
              <w:rPr>
                <w:rFonts w:ascii="Times New Roman" w:eastAsia="Times New Roman" w:hAnsi="Times New Roman" w:cs="Times New Roman"/>
                <w:sz w:val="24"/>
                <w:szCs w:val="24"/>
                <w:vertAlign w:val="superscript"/>
              </w:rPr>
              <w:t>на 202</w:t>
            </w:r>
            <w:r w:rsidR="00D737C0">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 xml:space="preserve"> год</w:t>
            </w:r>
          </w:p>
        </w:tc>
        <w:tc>
          <w:tcPr>
            <w:tcW w:w="1666" w:type="dxa"/>
            <w:gridSpan w:val="2"/>
          </w:tcPr>
          <w:p w:rsidR="00D77600" w:rsidRDefault="009D4E5A" w:rsidP="00D737C0">
            <w:pPr>
              <w:spacing w:after="0" w:line="240" w:lineRule="auto"/>
              <w:jc w:val="both"/>
              <w:rPr>
                <w:sz w:val="24"/>
                <w:szCs w:val="24"/>
                <w:vertAlign w:val="superscript"/>
              </w:rPr>
            </w:pPr>
            <w:r>
              <w:rPr>
                <w:rFonts w:ascii="Times New Roman" w:eastAsia="Times New Roman" w:hAnsi="Times New Roman" w:cs="Times New Roman"/>
                <w:sz w:val="24"/>
                <w:szCs w:val="24"/>
                <w:vertAlign w:val="superscript"/>
              </w:rPr>
              <w:t>на 202</w:t>
            </w:r>
            <w:r w:rsidR="00D737C0">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vertAlign w:val="superscript"/>
              </w:rPr>
              <w:t xml:space="preserve"> год</w:t>
            </w:r>
          </w:p>
        </w:tc>
      </w:tr>
      <w:tr w:rsidR="00D77600" w:rsidTr="007F275B">
        <w:tc>
          <w:tcPr>
            <w:tcW w:w="1042" w:type="dxa"/>
            <w:vMerge/>
          </w:tcPr>
          <w:p w:rsidR="00D77600" w:rsidRDefault="00D77600">
            <w:pPr>
              <w:widowControl w:val="0"/>
              <w:spacing w:after="0" w:line="240" w:lineRule="auto"/>
              <w:jc w:val="both"/>
              <w:rPr>
                <w:sz w:val="24"/>
                <w:szCs w:val="24"/>
                <w:vertAlign w:val="superscript"/>
              </w:rPr>
            </w:pPr>
          </w:p>
        </w:tc>
        <w:tc>
          <w:tcPr>
            <w:tcW w:w="1051" w:type="dxa"/>
            <w:vMerge/>
          </w:tcPr>
          <w:p w:rsidR="00D77600" w:rsidRDefault="00D77600">
            <w:pPr>
              <w:widowControl w:val="0"/>
              <w:spacing w:after="0" w:line="240" w:lineRule="auto"/>
              <w:jc w:val="both"/>
              <w:rPr>
                <w:sz w:val="24"/>
                <w:szCs w:val="24"/>
                <w:vertAlign w:val="superscript"/>
              </w:rPr>
            </w:pPr>
          </w:p>
        </w:tc>
        <w:tc>
          <w:tcPr>
            <w:tcW w:w="1338" w:type="dxa"/>
            <w:vMerge/>
          </w:tcPr>
          <w:p w:rsidR="00D77600" w:rsidRDefault="00D77600">
            <w:pPr>
              <w:widowControl w:val="0"/>
              <w:spacing w:after="0" w:line="240" w:lineRule="auto"/>
              <w:jc w:val="both"/>
              <w:rPr>
                <w:sz w:val="24"/>
                <w:szCs w:val="24"/>
                <w:vertAlign w:val="superscript"/>
              </w:rPr>
            </w:pPr>
          </w:p>
        </w:tc>
        <w:tc>
          <w:tcPr>
            <w:tcW w:w="1213" w:type="dxa"/>
            <w:vMerge w:val="restart"/>
          </w:tcPr>
          <w:p w:rsidR="00D77600" w:rsidRDefault="00D77600">
            <w:pPr>
              <w:spacing w:after="0" w:line="240" w:lineRule="auto"/>
              <w:jc w:val="both"/>
              <w:rPr>
                <w:sz w:val="24"/>
                <w:szCs w:val="24"/>
                <w:vertAlign w:val="superscript"/>
              </w:rPr>
            </w:pPr>
          </w:p>
          <w:p w:rsidR="00D77600" w:rsidRDefault="00D77600">
            <w:pPr>
              <w:spacing w:after="0" w:line="240" w:lineRule="auto"/>
              <w:rPr>
                <w:sz w:val="24"/>
                <w:szCs w:val="24"/>
                <w:vertAlign w:val="superscript"/>
              </w:rPr>
            </w:pPr>
          </w:p>
          <w:p w:rsidR="00D77600" w:rsidRDefault="009D4E5A">
            <w:pPr>
              <w:spacing w:after="0" w:line="240" w:lineRule="auto"/>
              <w:rPr>
                <w:sz w:val="24"/>
                <w:szCs w:val="24"/>
                <w:vertAlign w:val="superscript"/>
              </w:rPr>
            </w:pPr>
            <w:r>
              <w:rPr>
                <w:rFonts w:ascii="Times New Roman" w:eastAsia="Times New Roman" w:hAnsi="Times New Roman" w:cs="Times New Roman"/>
                <w:sz w:val="24"/>
                <w:szCs w:val="24"/>
                <w:vertAlign w:val="superscript"/>
              </w:rPr>
              <w:t>сумма</w:t>
            </w:r>
          </w:p>
        </w:tc>
        <w:tc>
          <w:tcPr>
            <w:tcW w:w="1560" w:type="dxa"/>
            <w:gridSpan w:val="2"/>
          </w:tcPr>
          <w:p w:rsidR="00D77600" w:rsidRDefault="009D4E5A" w:rsidP="00C16424">
            <w:pPr>
              <w:spacing w:after="0" w:line="240" w:lineRule="auto"/>
              <w:jc w:val="both"/>
              <w:rPr>
                <w:sz w:val="24"/>
                <w:szCs w:val="24"/>
                <w:vertAlign w:val="superscript"/>
              </w:rPr>
            </w:pPr>
            <w:r>
              <w:rPr>
                <w:rFonts w:ascii="Times New Roman" w:eastAsia="Times New Roman" w:hAnsi="Times New Roman" w:cs="Times New Roman"/>
                <w:sz w:val="24"/>
                <w:szCs w:val="24"/>
                <w:vertAlign w:val="superscript"/>
              </w:rPr>
              <w:t>отношение к 202</w:t>
            </w:r>
            <w:r w:rsidR="00D737C0">
              <w:rPr>
                <w:rFonts w:ascii="Times New Roman" w:eastAsia="Times New Roman" w:hAnsi="Times New Roman" w:cs="Times New Roman"/>
                <w:sz w:val="24"/>
                <w:szCs w:val="24"/>
                <w:vertAlign w:val="superscript"/>
              </w:rPr>
              <w:t>3</w:t>
            </w:r>
            <w:r w:rsidR="00C16424">
              <w:rPr>
                <w:rFonts w:ascii="Times New Roman" w:eastAsia="Times New Roman" w:hAnsi="Times New Roman" w:cs="Times New Roman"/>
                <w:sz w:val="24"/>
                <w:szCs w:val="24"/>
                <w:vertAlign w:val="superscript"/>
              </w:rPr>
              <w:t xml:space="preserve"> году,</w:t>
            </w:r>
            <w:r>
              <w:rPr>
                <w:rFonts w:ascii="Times New Roman" w:eastAsia="Times New Roman" w:hAnsi="Times New Roman" w:cs="Times New Roman"/>
                <w:sz w:val="24"/>
                <w:szCs w:val="24"/>
                <w:vertAlign w:val="superscript"/>
              </w:rPr>
              <w:t>%</w:t>
            </w:r>
          </w:p>
        </w:tc>
        <w:tc>
          <w:tcPr>
            <w:tcW w:w="992" w:type="dxa"/>
            <w:vMerge w:val="restart"/>
          </w:tcPr>
          <w:p w:rsidR="00D77600" w:rsidRDefault="009D4E5A">
            <w:pPr>
              <w:spacing w:after="0" w:line="240" w:lineRule="auto"/>
              <w:jc w:val="both"/>
              <w:rPr>
                <w:sz w:val="24"/>
                <w:szCs w:val="24"/>
                <w:vertAlign w:val="superscript"/>
              </w:rPr>
            </w:pPr>
            <w:r>
              <w:rPr>
                <w:rFonts w:ascii="Times New Roman" w:eastAsia="Times New Roman" w:hAnsi="Times New Roman" w:cs="Times New Roman"/>
                <w:sz w:val="24"/>
                <w:szCs w:val="24"/>
                <w:vertAlign w:val="superscript"/>
              </w:rPr>
              <w:t>сумма</w:t>
            </w:r>
          </w:p>
        </w:tc>
        <w:tc>
          <w:tcPr>
            <w:tcW w:w="709" w:type="dxa"/>
            <w:vMerge w:val="restart"/>
          </w:tcPr>
          <w:p w:rsidR="00D77600" w:rsidRDefault="009D4E5A" w:rsidP="00C16424">
            <w:pPr>
              <w:spacing w:after="0" w:line="240" w:lineRule="auto"/>
              <w:jc w:val="both"/>
              <w:rPr>
                <w:sz w:val="24"/>
                <w:szCs w:val="24"/>
                <w:vertAlign w:val="superscript"/>
              </w:rPr>
            </w:pPr>
            <w:r>
              <w:rPr>
                <w:rFonts w:ascii="Times New Roman" w:eastAsia="Times New Roman" w:hAnsi="Times New Roman" w:cs="Times New Roman"/>
                <w:sz w:val="24"/>
                <w:szCs w:val="24"/>
                <w:vertAlign w:val="superscript"/>
              </w:rPr>
              <w:t>отношение к 202</w:t>
            </w:r>
            <w:r w:rsidR="00D737C0">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 xml:space="preserve"> году,%</w:t>
            </w:r>
          </w:p>
        </w:tc>
        <w:tc>
          <w:tcPr>
            <w:tcW w:w="992" w:type="dxa"/>
            <w:vMerge w:val="restart"/>
          </w:tcPr>
          <w:p w:rsidR="00D77600" w:rsidRDefault="00D77600">
            <w:pPr>
              <w:spacing w:after="0" w:line="240" w:lineRule="auto"/>
              <w:jc w:val="both"/>
              <w:rPr>
                <w:sz w:val="24"/>
                <w:szCs w:val="24"/>
                <w:vertAlign w:val="superscript"/>
              </w:rPr>
            </w:pPr>
          </w:p>
          <w:p w:rsidR="00D77600" w:rsidRDefault="00D77600">
            <w:pPr>
              <w:spacing w:after="0" w:line="240" w:lineRule="auto"/>
              <w:rPr>
                <w:sz w:val="24"/>
                <w:szCs w:val="24"/>
                <w:vertAlign w:val="superscript"/>
              </w:rPr>
            </w:pPr>
          </w:p>
          <w:p w:rsidR="00D77600" w:rsidRDefault="00D77600">
            <w:pPr>
              <w:spacing w:after="0" w:line="240" w:lineRule="auto"/>
              <w:rPr>
                <w:sz w:val="24"/>
                <w:szCs w:val="24"/>
                <w:vertAlign w:val="superscript"/>
              </w:rPr>
            </w:pPr>
          </w:p>
          <w:p w:rsidR="00D77600" w:rsidRDefault="009D4E5A">
            <w:pPr>
              <w:spacing w:after="0" w:line="240" w:lineRule="auto"/>
              <w:rPr>
                <w:sz w:val="24"/>
                <w:szCs w:val="24"/>
                <w:vertAlign w:val="superscript"/>
              </w:rPr>
            </w:pPr>
            <w:r>
              <w:rPr>
                <w:rFonts w:ascii="Times New Roman" w:eastAsia="Times New Roman" w:hAnsi="Times New Roman" w:cs="Times New Roman"/>
                <w:sz w:val="24"/>
                <w:szCs w:val="24"/>
                <w:vertAlign w:val="superscript"/>
              </w:rPr>
              <w:t>сумма</w:t>
            </w:r>
          </w:p>
        </w:tc>
        <w:tc>
          <w:tcPr>
            <w:tcW w:w="674" w:type="dxa"/>
            <w:vMerge w:val="restart"/>
          </w:tcPr>
          <w:p w:rsidR="00D77600" w:rsidRDefault="009D4E5A" w:rsidP="00C16424">
            <w:pPr>
              <w:spacing w:after="0" w:line="240" w:lineRule="auto"/>
              <w:jc w:val="both"/>
              <w:rPr>
                <w:sz w:val="24"/>
                <w:szCs w:val="24"/>
                <w:vertAlign w:val="superscript"/>
              </w:rPr>
            </w:pPr>
            <w:r>
              <w:rPr>
                <w:rFonts w:ascii="Times New Roman" w:eastAsia="Times New Roman" w:hAnsi="Times New Roman" w:cs="Times New Roman"/>
                <w:sz w:val="24"/>
                <w:szCs w:val="24"/>
                <w:vertAlign w:val="superscript"/>
              </w:rPr>
              <w:t>отношение к 202</w:t>
            </w:r>
            <w:r w:rsidR="00D737C0">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 xml:space="preserve"> году,</w:t>
            </w:r>
            <w:r w:rsidR="00C16424">
              <w:rPr>
                <w:rFonts w:ascii="Times New Roman" w:eastAsia="Times New Roman" w:hAnsi="Times New Roman" w:cs="Times New Roman"/>
                <w:sz w:val="24"/>
                <w:szCs w:val="24"/>
                <w:vertAlign w:val="superscript"/>
              </w:rPr>
              <w:t>%</w:t>
            </w:r>
          </w:p>
        </w:tc>
      </w:tr>
      <w:tr w:rsidR="00D77600" w:rsidTr="007F275B">
        <w:tc>
          <w:tcPr>
            <w:tcW w:w="1042" w:type="dxa"/>
            <w:vMerge/>
          </w:tcPr>
          <w:p w:rsidR="00D77600" w:rsidRDefault="00D77600">
            <w:pPr>
              <w:widowControl w:val="0"/>
              <w:spacing w:after="0" w:line="240" w:lineRule="auto"/>
              <w:jc w:val="both"/>
              <w:rPr>
                <w:sz w:val="24"/>
                <w:szCs w:val="24"/>
                <w:vertAlign w:val="superscript"/>
              </w:rPr>
            </w:pPr>
          </w:p>
        </w:tc>
        <w:tc>
          <w:tcPr>
            <w:tcW w:w="1051" w:type="dxa"/>
            <w:vMerge/>
          </w:tcPr>
          <w:p w:rsidR="00D77600" w:rsidRDefault="00D77600">
            <w:pPr>
              <w:widowControl w:val="0"/>
              <w:spacing w:after="0" w:line="240" w:lineRule="auto"/>
              <w:jc w:val="both"/>
              <w:rPr>
                <w:sz w:val="24"/>
                <w:szCs w:val="24"/>
                <w:vertAlign w:val="superscript"/>
              </w:rPr>
            </w:pPr>
          </w:p>
        </w:tc>
        <w:tc>
          <w:tcPr>
            <w:tcW w:w="1338" w:type="dxa"/>
            <w:vMerge/>
          </w:tcPr>
          <w:p w:rsidR="00D77600" w:rsidRDefault="00D77600">
            <w:pPr>
              <w:widowControl w:val="0"/>
              <w:spacing w:after="0" w:line="240" w:lineRule="auto"/>
              <w:jc w:val="both"/>
              <w:rPr>
                <w:sz w:val="24"/>
                <w:szCs w:val="24"/>
                <w:vertAlign w:val="superscript"/>
              </w:rPr>
            </w:pPr>
          </w:p>
        </w:tc>
        <w:tc>
          <w:tcPr>
            <w:tcW w:w="1213" w:type="dxa"/>
            <w:vMerge/>
          </w:tcPr>
          <w:p w:rsidR="00D77600" w:rsidRDefault="00D77600">
            <w:pPr>
              <w:widowControl w:val="0"/>
              <w:spacing w:after="0" w:line="240" w:lineRule="auto"/>
              <w:jc w:val="both"/>
              <w:rPr>
                <w:sz w:val="24"/>
                <w:szCs w:val="24"/>
                <w:vertAlign w:val="superscript"/>
              </w:rPr>
            </w:pPr>
          </w:p>
        </w:tc>
        <w:tc>
          <w:tcPr>
            <w:tcW w:w="851" w:type="dxa"/>
          </w:tcPr>
          <w:p w:rsidR="00D77600" w:rsidRDefault="009D4E5A">
            <w:pPr>
              <w:widowControl w:val="0"/>
              <w:spacing w:after="0" w:line="240" w:lineRule="auto"/>
              <w:jc w:val="both"/>
              <w:rPr>
                <w:sz w:val="24"/>
                <w:szCs w:val="24"/>
                <w:vertAlign w:val="superscript"/>
              </w:rPr>
            </w:pPr>
            <w:r>
              <w:rPr>
                <w:rFonts w:ascii="Times New Roman" w:eastAsia="Times New Roman" w:hAnsi="Times New Roman" w:cs="Times New Roman"/>
                <w:sz w:val="24"/>
                <w:szCs w:val="24"/>
                <w:vertAlign w:val="superscript"/>
              </w:rPr>
              <w:t>к первонач ред.</w:t>
            </w:r>
          </w:p>
        </w:tc>
        <w:tc>
          <w:tcPr>
            <w:tcW w:w="709" w:type="dxa"/>
          </w:tcPr>
          <w:p w:rsidR="00D77600" w:rsidRDefault="009D4E5A">
            <w:pPr>
              <w:widowControl w:val="0"/>
              <w:spacing w:after="0" w:line="240" w:lineRule="auto"/>
              <w:jc w:val="both"/>
              <w:rPr>
                <w:sz w:val="24"/>
                <w:szCs w:val="24"/>
                <w:vertAlign w:val="superscript"/>
              </w:rPr>
            </w:pPr>
            <w:r>
              <w:rPr>
                <w:rFonts w:ascii="Times New Roman" w:eastAsia="Times New Roman" w:hAnsi="Times New Roman" w:cs="Times New Roman"/>
                <w:sz w:val="24"/>
                <w:szCs w:val="24"/>
                <w:vertAlign w:val="superscript"/>
              </w:rPr>
              <w:t>с учетом изменен.</w:t>
            </w:r>
          </w:p>
        </w:tc>
        <w:tc>
          <w:tcPr>
            <w:tcW w:w="992" w:type="dxa"/>
            <w:vMerge/>
          </w:tcPr>
          <w:p w:rsidR="00D77600" w:rsidRDefault="00D77600">
            <w:pPr>
              <w:widowControl w:val="0"/>
              <w:spacing w:after="0" w:line="240" w:lineRule="auto"/>
              <w:jc w:val="both"/>
              <w:rPr>
                <w:sz w:val="24"/>
                <w:szCs w:val="24"/>
                <w:vertAlign w:val="superscript"/>
              </w:rPr>
            </w:pPr>
          </w:p>
        </w:tc>
        <w:tc>
          <w:tcPr>
            <w:tcW w:w="709" w:type="dxa"/>
            <w:vMerge/>
          </w:tcPr>
          <w:p w:rsidR="00D77600" w:rsidRDefault="00D77600">
            <w:pPr>
              <w:widowControl w:val="0"/>
              <w:spacing w:after="0" w:line="240" w:lineRule="auto"/>
              <w:jc w:val="both"/>
              <w:rPr>
                <w:sz w:val="24"/>
                <w:szCs w:val="24"/>
                <w:vertAlign w:val="superscript"/>
              </w:rPr>
            </w:pPr>
          </w:p>
        </w:tc>
        <w:tc>
          <w:tcPr>
            <w:tcW w:w="992" w:type="dxa"/>
            <w:vMerge/>
          </w:tcPr>
          <w:p w:rsidR="00D77600" w:rsidRDefault="00D77600">
            <w:pPr>
              <w:widowControl w:val="0"/>
              <w:spacing w:after="0" w:line="240" w:lineRule="auto"/>
              <w:jc w:val="both"/>
              <w:rPr>
                <w:sz w:val="24"/>
                <w:szCs w:val="24"/>
                <w:vertAlign w:val="superscript"/>
              </w:rPr>
            </w:pPr>
          </w:p>
        </w:tc>
        <w:tc>
          <w:tcPr>
            <w:tcW w:w="674" w:type="dxa"/>
            <w:vMerge/>
          </w:tcPr>
          <w:p w:rsidR="00D77600" w:rsidRDefault="00D77600">
            <w:pPr>
              <w:widowControl w:val="0"/>
              <w:spacing w:after="0" w:line="240" w:lineRule="auto"/>
              <w:jc w:val="both"/>
              <w:rPr>
                <w:sz w:val="24"/>
                <w:szCs w:val="24"/>
                <w:vertAlign w:val="superscript"/>
              </w:rPr>
            </w:pPr>
          </w:p>
        </w:tc>
      </w:tr>
      <w:tr w:rsidR="00D737C0" w:rsidTr="007F275B">
        <w:tc>
          <w:tcPr>
            <w:tcW w:w="1042" w:type="dxa"/>
          </w:tcPr>
          <w:p w:rsidR="00D737C0" w:rsidRDefault="00D737C0">
            <w:pPr>
              <w:spacing w:after="0" w:line="240" w:lineRule="auto"/>
              <w:jc w:val="both"/>
              <w:rPr>
                <w:b/>
                <w:vertAlign w:val="superscript"/>
              </w:rPr>
            </w:pPr>
            <w:bookmarkStart w:id="8" w:name="_Hlk152326782"/>
            <w:bookmarkStart w:id="9" w:name="_Hlk152324314"/>
            <w:r>
              <w:rPr>
                <w:rFonts w:ascii="Times New Roman" w:eastAsia="Times New Roman" w:hAnsi="Times New Roman" w:cs="Times New Roman"/>
                <w:b/>
                <w:vertAlign w:val="superscript"/>
              </w:rPr>
              <w:t>Доходы, всего</w:t>
            </w:r>
          </w:p>
        </w:tc>
        <w:tc>
          <w:tcPr>
            <w:tcW w:w="1051" w:type="dxa"/>
          </w:tcPr>
          <w:p w:rsidR="00D737C0" w:rsidRDefault="00D737C0">
            <w:pPr>
              <w:widowControl w:val="0"/>
              <w:spacing w:after="0" w:line="240" w:lineRule="auto"/>
              <w:jc w:val="both"/>
              <w:rPr>
                <w:b/>
                <w:vertAlign w:val="superscript"/>
              </w:rPr>
            </w:pPr>
            <w:r>
              <w:rPr>
                <w:b/>
                <w:vertAlign w:val="superscript"/>
              </w:rPr>
              <w:t>8 414 989,95</w:t>
            </w:r>
          </w:p>
        </w:tc>
        <w:tc>
          <w:tcPr>
            <w:tcW w:w="1338" w:type="dxa"/>
          </w:tcPr>
          <w:p w:rsidR="00D737C0" w:rsidRDefault="009A0C6F">
            <w:pPr>
              <w:widowControl w:val="0"/>
              <w:spacing w:after="0" w:line="240" w:lineRule="auto"/>
              <w:jc w:val="both"/>
              <w:rPr>
                <w:b/>
                <w:vertAlign w:val="superscript"/>
              </w:rPr>
            </w:pPr>
            <w:r>
              <w:rPr>
                <w:b/>
                <w:vertAlign w:val="superscript"/>
              </w:rPr>
              <w:t>13 457 377,81</w:t>
            </w:r>
          </w:p>
        </w:tc>
        <w:tc>
          <w:tcPr>
            <w:tcW w:w="1213" w:type="dxa"/>
          </w:tcPr>
          <w:p w:rsidR="00D737C0" w:rsidRDefault="00DD412F">
            <w:pPr>
              <w:widowControl w:val="0"/>
              <w:spacing w:after="0" w:line="240" w:lineRule="auto"/>
              <w:jc w:val="both"/>
              <w:rPr>
                <w:b/>
                <w:vertAlign w:val="superscript"/>
              </w:rPr>
            </w:pPr>
            <w:r>
              <w:rPr>
                <w:b/>
                <w:vertAlign w:val="superscript"/>
              </w:rPr>
              <w:t>10 070 061,65</w:t>
            </w:r>
          </w:p>
        </w:tc>
        <w:tc>
          <w:tcPr>
            <w:tcW w:w="851" w:type="dxa"/>
          </w:tcPr>
          <w:p w:rsidR="00D737C0" w:rsidRDefault="00DD412F">
            <w:pPr>
              <w:widowControl w:val="0"/>
              <w:spacing w:after="0" w:line="240" w:lineRule="auto"/>
              <w:jc w:val="both"/>
              <w:rPr>
                <w:b/>
                <w:vertAlign w:val="superscript"/>
              </w:rPr>
            </w:pPr>
            <w:r>
              <w:rPr>
                <w:b/>
                <w:vertAlign w:val="superscript"/>
              </w:rPr>
              <w:t>119,67</w:t>
            </w:r>
          </w:p>
        </w:tc>
        <w:tc>
          <w:tcPr>
            <w:tcW w:w="709" w:type="dxa"/>
          </w:tcPr>
          <w:p w:rsidR="00D737C0" w:rsidRDefault="00DD412F">
            <w:pPr>
              <w:widowControl w:val="0"/>
              <w:spacing w:after="0" w:line="240" w:lineRule="auto"/>
              <w:jc w:val="both"/>
              <w:rPr>
                <w:b/>
                <w:vertAlign w:val="superscript"/>
              </w:rPr>
            </w:pPr>
            <w:r>
              <w:rPr>
                <w:b/>
                <w:vertAlign w:val="superscript"/>
              </w:rPr>
              <w:t>74,83</w:t>
            </w:r>
          </w:p>
        </w:tc>
        <w:tc>
          <w:tcPr>
            <w:tcW w:w="992" w:type="dxa"/>
          </w:tcPr>
          <w:p w:rsidR="00D737C0" w:rsidRDefault="00DD412F">
            <w:pPr>
              <w:widowControl w:val="0"/>
              <w:spacing w:after="0" w:line="240" w:lineRule="auto"/>
              <w:jc w:val="both"/>
              <w:rPr>
                <w:b/>
                <w:vertAlign w:val="superscript"/>
              </w:rPr>
            </w:pPr>
            <w:r>
              <w:rPr>
                <w:b/>
                <w:vertAlign w:val="superscript"/>
              </w:rPr>
              <w:t>9 349 911,42</w:t>
            </w:r>
          </w:p>
        </w:tc>
        <w:tc>
          <w:tcPr>
            <w:tcW w:w="709" w:type="dxa"/>
          </w:tcPr>
          <w:p w:rsidR="00D737C0" w:rsidRDefault="00DD412F">
            <w:pPr>
              <w:widowControl w:val="0"/>
              <w:spacing w:after="0" w:line="240" w:lineRule="auto"/>
              <w:jc w:val="both"/>
              <w:rPr>
                <w:b/>
                <w:vertAlign w:val="superscript"/>
              </w:rPr>
            </w:pPr>
            <w:r>
              <w:rPr>
                <w:b/>
                <w:vertAlign w:val="superscript"/>
              </w:rPr>
              <w:t>92,85</w:t>
            </w:r>
          </w:p>
        </w:tc>
        <w:tc>
          <w:tcPr>
            <w:tcW w:w="992" w:type="dxa"/>
          </w:tcPr>
          <w:p w:rsidR="00D737C0" w:rsidRDefault="00DD412F">
            <w:pPr>
              <w:widowControl w:val="0"/>
              <w:spacing w:after="0" w:line="240" w:lineRule="auto"/>
              <w:jc w:val="both"/>
              <w:rPr>
                <w:b/>
                <w:vertAlign w:val="superscript"/>
              </w:rPr>
            </w:pPr>
            <w:r>
              <w:rPr>
                <w:b/>
                <w:vertAlign w:val="superscript"/>
              </w:rPr>
              <w:t>9 999 431,17</w:t>
            </w:r>
          </w:p>
        </w:tc>
        <w:tc>
          <w:tcPr>
            <w:tcW w:w="674" w:type="dxa"/>
          </w:tcPr>
          <w:p w:rsidR="00D737C0" w:rsidRDefault="00DD412F">
            <w:pPr>
              <w:widowControl w:val="0"/>
              <w:tabs>
                <w:tab w:val="left" w:pos="599"/>
              </w:tabs>
              <w:spacing w:after="0" w:line="240" w:lineRule="auto"/>
              <w:jc w:val="both"/>
              <w:rPr>
                <w:b/>
                <w:vertAlign w:val="superscript"/>
              </w:rPr>
            </w:pPr>
            <w:bookmarkStart w:id="10" w:name="_Hlk119594462"/>
            <w:bookmarkEnd w:id="10"/>
            <w:r>
              <w:rPr>
                <w:b/>
                <w:vertAlign w:val="superscript"/>
              </w:rPr>
              <w:t>106,95</w:t>
            </w:r>
          </w:p>
        </w:tc>
      </w:tr>
      <w:bookmarkEnd w:id="8"/>
      <w:tr w:rsidR="00D737C0" w:rsidTr="007F275B">
        <w:tc>
          <w:tcPr>
            <w:tcW w:w="1042" w:type="dxa"/>
          </w:tcPr>
          <w:p w:rsidR="00D737C0" w:rsidRDefault="00D737C0">
            <w:pPr>
              <w:spacing w:after="0" w:line="240" w:lineRule="auto"/>
              <w:jc w:val="both"/>
              <w:rPr>
                <w:vertAlign w:val="superscript"/>
              </w:rPr>
            </w:pPr>
            <w:r>
              <w:rPr>
                <w:rFonts w:ascii="Times New Roman" w:eastAsia="Times New Roman" w:hAnsi="Times New Roman" w:cs="Times New Roman"/>
                <w:vertAlign w:val="superscript"/>
              </w:rPr>
              <w:t>в том числе:</w:t>
            </w:r>
          </w:p>
        </w:tc>
        <w:tc>
          <w:tcPr>
            <w:tcW w:w="1051" w:type="dxa"/>
          </w:tcPr>
          <w:p w:rsidR="00D737C0" w:rsidRDefault="00D737C0">
            <w:pPr>
              <w:widowControl w:val="0"/>
              <w:spacing w:after="0" w:line="240" w:lineRule="auto"/>
              <w:jc w:val="both"/>
              <w:rPr>
                <w:vertAlign w:val="superscript"/>
              </w:rPr>
            </w:pPr>
          </w:p>
        </w:tc>
        <w:tc>
          <w:tcPr>
            <w:tcW w:w="1338" w:type="dxa"/>
          </w:tcPr>
          <w:p w:rsidR="00D737C0" w:rsidRDefault="00D737C0">
            <w:pPr>
              <w:widowControl w:val="0"/>
              <w:spacing w:after="0" w:line="240" w:lineRule="auto"/>
              <w:jc w:val="both"/>
              <w:rPr>
                <w:vertAlign w:val="superscript"/>
              </w:rPr>
            </w:pPr>
          </w:p>
        </w:tc>
        <w:tc>
          <w:tcPr>
            <w:tcW w:w="1213" w:type="dxa"/>
          </w:tcPr>
          <w:p w:rsidR="00D737C0" w:rsidRDefault="00D737C0">
            <w:pPr>
              <w:widowControl w:val="0"/>
              <w:spacing w:after="0" w:line="240" w:lineRule="auto"/>
              <w:jc w:val="both"/>
              <w:rPr>
                <w:vertAlign w:val="superscript"/>
              </w:rPr>
            </w:pPr>
          </w:p>
        </w:tc>
        <w:tc>
          <w:tcPr>
            <w:tcW w:w="851" w:type="dxa"/>
          </w:tcPr>
          <w:p w:rsidR="00D737C0" w:rsidRDefault="00D737C0">
            <w:pPr>
              <w:widowControl w:val="0"/>
              <w:spacing w:after="0" w:line="240" w:lineRule="auto"/>
              <w:jc w:val="both"/>
              <w:rPr>
                <w:vertAlign w:val="superscript"/>
              </w:rPr>
            </w:pPr>
          </w:p>
        </w:tc>
        <w:tc>
          <w:tcPr>
            <w:tcW w:w="709" w:type="dxa"/>
          </w:tcPr>
          <w:p w:rsidR="00D737C0" w:rsidRDefault="00D737C0">
            <w:pPr>
              <w:widowControl w:val="0"/>
              <w:spacing w:after="0" w:line="240" w:lineRule="auto"/>
              <w:jc w:val="both"/>
              <w:rPr>
                <w:vertAlign w:val="superscript"/>
              </w:rPr>
            </w:pPr>
          </w:p>
        </w:tc>
        <w:tc>
          <w:tcPr>
            <w:tcW w:w="992" w:type="dxa"/>
          </w:tcPr>
          <w:p w:rsidR="00D737C0" w:rsidRDefault="00D737C0">
            <w:pPr>
              <w:widowControl w:val="0"/>
              <w:spacing w:after="0" w:line="240" w:lineRule="auto"/>
              <w:jc w:val="both"/>
              <w:rPr>
                <w:vertAlign w:val="superscript"/>
              </w:rPr>
            </w:pPr>
          </w:p>
        </w:tc>
        <w:tc>
          <w:tcPr>
            <w:tcW w:w="709" w:type="dxa"/>
          </w:tcPr>
          <w:p w:rsidR="00D737C0" w:rsidRDefault="00D737C0">
            <w:pPr>
              <w:widowControl w:val="0"/>
              <w:spacing w:after="0" w:line="240" w:lineRule="auto"/>
              <w:jc w:val="both"/>
              <w:rPr>
                <w:vertAlign w:val="superscript"/>
              </w:rPr>
            </w:pPr>
          </w:p>
        </w:tc>
        <w:tc>
          <w:tcPr>
            <w:tcW w:w="992" w:type="dxa"/>
          </w:tcPr>
          <w:p w:rsidR="00D737C0" w:rsidRDefault="00D737C0">
            <w:pPr>
              <w:widowControl w:val="0"/>
              <w:spacing w:after="0" w:line="240" w:lineRule="auto"/>
              <w:jc w:val="both"/>
              <w:rPr>
                <w:vertAlign w:val="superscript"/>
              </w:rPr>
            </w:pPr>
          </w:p>
        </w:tc>
        <w:tc>
          <w:tcPr>
            <w:tcW w:w="674" w:type="dxa"/>
          </w:tcPr>
          <w:p w:rsidR="00D737C0" w:rsidRDefault="00D737C0">
            <w:pPr>
              <w:widowControl w:val="0"/>
              <w:spacing w:after="0" w:line="240" w:lineRule="auto"/>
              <w:jc w:val="both"/>
              <w:rPr>
                <w:vertAlign w:val="superscript"/>
              </w:rPr>
            </w:pPr>
          </w:p>
        </w:tc>
      </w:tr>
      <w:tr w:rsidR="00DD412F" w:rsidTr="007F275B">
        <w:tc>
          <w:tcPr>
            <w:tcW w:w="1042" w:type="dxa"/>
          </w:tcPr>
          <w:p w:rsidR="00DD412F" w:rsidRDefault="00DD412F">
            <w:pPr>
              <w:spacing w:after="0" w:line="240" w:lineRule="auto"/>
              <w:jc w:val="both"/>
              <w:rPr>
                <w:vertAlign w:val="superscript"/>
              </w:rPr>
            </w:pPr>
            <w:r>
              <w:rPr>
                <w:rFonts w:ascii="Times New Roman" w:eastAsia="Times New Roman" w:hAnsi="Times New Roman" w:cs="Times New Roman"/>
                <w:vertAlign w:val="superscript"/>
              </w:rPr>
              <w:t xml:space="preserve">налоговые и неналоговые </w:t>
            </w:r>
          </w:p>
        </w:tc>
        <w:tc>
          <w:tcPr>
            <w:tcW w:w="1051" w:type="dxa"/>
          </w:tcPr>
          <w:p w:rsidR="00DD412F" w:rsidRDefault="00DD412F">
            <w:pPr>
              <w:widowControl w:val="0"/>
              <w:spacing w:after="0" w:line="240" w:lineRule="auto"/>
              <w:jc w:val="both"/>
              <w:rPr>
                <w:b/>
                <w:vertAlign w:val="superscript"/>
              </w:rPr>
            </w:pPr>
            <w:r>
              <w:rPr>
                <w:b/>
                <w:vertAlign w:val="superscript"/>
              </w:rPr>
              <w:t>4 134 430,00</w:t>
            </w:r>
          </w:p>
        </w:tc>
        <w:tc>
          <w:tcPr>
            <w:tcW w:w="1338" w:type="dxa"/>
          </w:tcPr>
          <w:p w:rsidR="00DD412F" w:rsidRDefault="00DD412F">
            <w:pPr>
              <w:widowControl w:val="0"/>
              <w:spacing w:after="0" w:line="240" w:lineRule="auto"/>
              <w:jc w:val="both"/>
              <w:rPr>
                <w:vertAlign w:val="superscript"/>
              </w:rPr>
            </w:pPr>
            <w:r>
              <w:rPr>
                <w:vertAlign w:val="superscript"/>
              </w:rPr>
              <w:t>4 144 157,68</w:t>
            </w:r>
          </w:p>
        </w:tc>
        <w:tc>
          <w:tcPr>
            <w:tcW w:w="1213" w:type="dxa"/>
          </w:tcPr>
          <w:p w:rsidR="00DD412F" w:rsidRDefault="00DD412F" w:rsidP="009D4E5A">
            <w:pPr>
              <w:widowControl w:val="0"/>
              <w:spacing w:after="0" w:line="240" w:lineRule="auto"/>
              <w:jc w:val="both"/>
              <w:rPr>
                <w:b/>
                <w:vertAlign w:val="superscript"/>
              </w:rPr>
            </w:pPr>
            <w:r>
              <w:rPr>
                <w:b/>
                <w:vertAlign w:val="superscript"/>
              </w:rPr>
              <w:t>5 656 582,00</w:t>
            </w:r>
          </w:p>
        </w:tc>
        <w:tc>
          <w:tcPr>
            <w:tcW w:w="851" w:type="dxa"/>
          </w:tcPr>
          <w:p w:rsidR="00DD412F" w:rsidRDefault="00DD412F" w:rsidP="009D4E5A">
            <w:pPr>
              <w:widowControl w:val="0"/>
              <w:spacing w:after="0" w:line="240" w:lineRule="auto"/>
              <w:jc w:val="both"/>
              <w:rPr>
                <w:b/>
                <w:vertAlign w:val="superscript"/>
              </w:rPr>
            </w:pPr>
            <w:r>
              <w:rPr>
                <w:b/>
                <w:vertAlign w:val="superscript"/>
              </w:rPr>
              <w:t>136,82</w:t>
            </w:r>
          </w:p>
        </w:tc>
        <w:tc>
          <w:tcPr>
            <w:tcW w:w="709" w:type="dxa"/>
          </w:tcPr>
          <w:p w:rsidR="00DD412F" w:rsidRDefault="00DD412F" w:rsidP="009D4E5A">
            <w:pPr>
              <w:widowControl w:val="0"/>
              <w:spacing w:after="0" w:line="240" w:lineRule="auto"/>
              <w:jc w:val="both"/>
              <w:rPr>
                <w:b/>
                <w:vertAlign w:val="superscript"/>
              </w:rPr>
            </w:pPr>
            <w:r>
              <w:rPr>
                <w:b/>
                <w:vertAlign w:val="superscript"/>
              </w:rPr>
              <w:t>136,50</w:t>
            </w:r>
          </w:p>
        </w:tc>
        <w:tc>
          <w:tcPr>
            <w:tcW w:w="992" w:type="dxa"/>
          </w:tcPr>
          <w:p w:rsidR="00DD412F" w:rsidRDefault="00DD412F" w:rsidP="009D4E5A">
            <w:pPr>
              <w:widowControl w:val="0"/>
              <w:spacing w:after="0" w:line="240" w:lineRule="auto"/>
              <w:jc w:val="both"/>
              <w:rPr>
                <w:b/>
                <w:vertAlign w:val="superscript"/>
              </w:rPr>
            </w:pPr>
            <w:r>
              <w:rPr>
                <w:b/>
                <w:vertAlign w:val="superscript"/>
              </w:rPr>
              <w:t>5 713 195,00</w:t>
            </w:r>
          </w:p>
        </w:tc>
        <w:tc>
          <w:tcPr>
            <w:tcW w:w="709" w:type="dxa"/>
          </w:tcPr>
          <w:p w:rsidR="00DD412F" w:rsidRDefault="00DD412F" w:rsidP="009D4E5A">
            <w:pPr>
              <w:widowControl w:val="0"/>
              <w:spacing w:after="0" w:line="240" w:lineRule="auto"/>
              <w:jc w:val="both"/>
              <w:rPr>
                <w:b/>
                <w:vertAlign w:val="superscript"/>
              </w:rPr>
            </w:pPr>
            <w:r>
              <w:rPr>
                <w:b/>
                <w:vertAlign w:val="superscript"/>
              </w:rPr>
              <w:t>101,00</w:t>
            </w:r>
          </w:p>
        </w:tc>
        <w:tc>
          <w:tcPr>
            <w:tcW w:w="992" w:type="dxa"/>
          </w:tcPr>
          <w:p w:rsidR="00DD412F" w:rsidRDefault="00DD412F" w:rsidP="009D4E5A">
            <w:pPr>
              <w:widowControl w:val="0"/>
              <w:spacing w:after="0" w:line="240" w:lineRule="auto"/>
              <w:jc w:val="both"/>
              <w:rPr>
                <w:b/>
                <w:vertAlign w:val="superscript"/>
              </w:rPr>
            </w:pPr>
            <w:r>
              <w:rPr>
                <w:b/>
                <w:vertAlign w:val="superscript"/>
              </w:rPr>
              <w:t>6 343 619,00</w:t>
            </w:r>
          </w:p>
        </w:tc>
        <w:tc>
          <w:tcPr>
            <w:tcW w:w="674" w:type="dxa"/>
          </w:tcPr>
          <w:p w:rsidR="00DD412F" w:rsidRDefault="00DD412F">
            <w:pPr>
              <w:widowControl w:val="0"/>
              <w:spacing w:after="0" w:line="240" w:lineRule="auto"/>
              <w:jc w:val="both"/>
              <w:rPr>
                <w:vertAlign w:val="superscript"/>
              </w:rPr>
            </w:pPr>
            <w:r>
              <w:rPr>
                <w:vertAlign w:val="superscript"/>
              </w:rPr>
              <w:t>111,03</w:t>
            </w:r>
          </w:p>
        </w:tc>
      </w:tr>
      <w:tr w:rsidR="00DD412F" w:rsidTr="007F275B">
        <w:tc>
          <w:tcPr>
            <w:tcW w:w="1042" w:type="dxa"/>
          </w:tcPr>
          <w:p w:rsidR="00DD412F" w:rsidRDefault="00DD412F">
            <w:pPr>
              <w:spacing w:after="0" w:line="240" w:lineRule="auto"/>
              <w:jc w:val="both"/>
              <w:rPr>
                <w:vertAlign w:val="superscript"/>
              </w:rPr>
            </w:pPr>
            <w:r>
              <w:rPr>
                <w:rFonts w:ascii="Times New Roman" w:eastAsia="Times New Roman" w:hAnsi="Times New Roman" w:cs="Times New Roman"/>
                <w:vertAlign w:val="superscript"/>
              </w:rPr>
              <w:t>безвозмездные поступления</w:t>
            </w:r>
          </w:p>
        </w:tc>
        <w:tc>
          <w:tcPr>
            <w:tcW w:w="1051" w:type="dxa"/>
          </w:tcPr>
          <w:p w:rsidR="00DD412F" w:rsidRDefault="00DD412F">
            <w:pPr>
              <w:widowControl w:val="0"/>
              <w:spacing w:after="0" w:line="240" w:lineRule="auto"/>
              <w:jc w:val="both"/>
              <w:rPr>
                <w:vertAlign w:val="superscript"/>
              </w:rPr>
            </w:pPr>
            <w:r>
              <w:rPr>
                <w:vertAlign w:val="superscript"/>
              </w:rPr>
              <w:t>4 280 559,95</w:t>
            </w:r>
          </w:p>
        </w:tc>
        <w:tc>
          <w:tcPr>
            <w:tcW w:w="1338" w:type="dxa"/>
          </w:tcPr>
          <w:p w:rsidR="00DD412F" w:rsidRDefault="00DD412F">
            <w:pPr>
              <w:widowControl w:val="0"/>
              <w:spacing w:after="0" w:line="240" w:lineRule="auto"/>
              <w:jc w:val="both"/>
              <w:rPr>
                <w:vertAlign w:val="superscript"/>
              </w:rPr>
            </w:pPr>
            <w:r>
              <w:rPr>
                <w:vertAlign w:val="superscript"/>
              </w:rPr>
              <w:t>9 313 220,13</w:t>
            </w:r>
          </w:p>
        </w:tc>
        <w:tc>
          <w:tcPr>
            <w:tcW w:w="1213" w:type="dxa"/>
          </w:tcPr>
          <w:p w:rsidR="00DD412F" w:rsidRDefault="00DD412F">
            <w:pPr>
              <w:widowControl w:val="0"/>
              <w:spacing w:after="0" w:line="240" w:lineRule="auto"/>
              <w:jc w:val="both"/>
              <w:rPr>
                <w:vertAlign w:val="superscript"/>
              </w:rPr>
            </w:pPr>
            <w:r>
              <w:rPr>
                <w:vertAlign w:val="superscript"/>
              </w:rPr>
              <w:t>4 413 479,65</w:t>
            </w:r>
          </w:p>
        </w:tc>
        <w:tc>
          <w:tcPr>
            <w:tcW w:w="851" w:type="dxa"/>
          </w:tcPr>
          <w:p w:rsidR="00DD412F" w:rsidRDefault="00DD412F">
            <w:pPr>
              <w:widowControl w:val="0"/>
              <w:spacing w:after="0" w:line="240" w:lineRule="auto"/>
              <w:jc w:val="both"/>
              <w:rPr>
                <w:vertAlign w:val="superscript"/>
              </w:rPr>
            </w:pPr>
            <w:r>
              <w:rPr>
                <w:vertAlign w:val="superscript"/>
              </w:rPr>
              <w:t>103,11</w:t>
            </w:r>
          </w:p>
        </w:tc>
        <w:tc>
          <w:tcPr>
            <w:tcW w:w="709" w:type="dxa"/>
          </w:tcPr>
          <w:p w:rsidR="00DD412F" w:rsidRDefault="00DD412F">
            <w:pPr>
              <w:widowControl w:val="0"/>
              <w:spacing w:after="0" w:line="240" w:lineRule="auto"/>
              <w:jc w:val="both"/>
              <w:rPr>
                <w:vertAlign w:val="superscript"/>
              </w:rPr>
            </w:pPr>
            <w:r>
              <w:rPr>
                <w:vertAlign w:val="superscript"/>
              </w:rPr>
              <w:t>47,39</w:t>
            </w:r>
          </w:p>
        </w:tc>
        <w:tc>
          <w:tcPr>
            <w:tcW w:w="992" w:type="dxa"/>
          </w:tcPr>
          <w:p w:rsidR="00DD412F" w:rsidRDefault="00DD412F">
            <w:pPr>
              <w:widowControl w:val="0"/>
              <w:spacing w:after="0" w:line="240" w:lineRule="auto"/>
              <w:jc w:val="both"/>
              <w:rPr>
                <w:vertAlign w:val="superscript"/>
              </w:rPr>
            </w:pPr>
            <w:r>
              <w:rPr>
                <w:vertAlign w:val="superscript"/>
              </w:rPr>
              <w:t>3 636 716,42</w:t>
            </w:r>
          </w:p>
        </w:tc>
        <w:tc>
          <w:tcPr>
            <w:tcW w:w="709" w:type="dxa"/>
          </w:tcPr>
          <w:p w:rsidR="00DD412F" w:rsidRDefault="00DD412F">
            <w:pPr>
              <w:widowControl w:val="0"/>
              <w:spacing w:after="0" w:line="240" w:lineRule="auto"/>
              <w:jc w:val="both"/>
              <w:rPr>
                <w:vertAlign w:val="superscript"/>
              </w:rPr>
            </w:pPr>
            <w:r>
              <w:rPr>
                <w:vertAlign w:val="superscript"/>
              </w:rPr>
              <w:t>82,40</w:t>
            </w:r>
          </w:p>
        </w:tc>
        <w:tc>
          <w:tcPr>
            <w:tcW w:w="992" w:type="dxa"/>
          </w:tcPr>
          <w:p w:rsidR="00DD412F" w:rsidRDefault="00DD412F">
            <w:pPr>
              <w:widowControl w:val="0"/>
              <w:spacing w:after="0" w:line="240" w:lineRule="auto"/>
              <w:jc w:val="both"/>
              <w:rPr>
                <w:vertAlign w:val="superscript"/>
              </w:rPr>
            </w:pPr>
            <w:r>
              <w:rPr>
                <w:vertAlign w:val="superscript"/>
              </w:rPr>
              <w:t>3 655 812,17</w:t>
            </w:r>
          </w:p>
        </w:tc>
        <w:tc>
          <w:tcPr>
            <w:tcW w:w="674" w:type="dxa"/>
          </w:tcPr>
          <w:p w:rsidR="00DD412F" w:rsidRDefault="00DD412F">
            <w:pPr>
              <w:widowControl w:val="0"/>
              <w:spacing w:after="0" w:line="240" w:lineRule="auto"/>
              <w:jc w:val="both"/>
              <w:rPr>
                <w:vertAlign w:val="superscript"/>
              </w:rPr>
            </w:pPr>
            <w:r>
              <w:rPr>
                <w:vertAlign w:val="superscript"/>
              </w:rPr>
              <w:t>100,53</w:t>
            </w:r>
          </w:p>
        </w:tc>
      </w:tr>
      <w:tr w:rsidR="00DD412F" w:rsidTr="007F275B">
        <w:tc>
          <w:tcPr>
            <w:tcW w:w="1042" w:type="dxa"/>
          </w:tcPr>
          <w:p w:rsidR="00DD412F" w:rsidRDefault="00DD412F">
            <w:pPr>
              <w:spacing w:after="0" w:line="240" w:lineRule="auto"/>
              <w:jc w:val="both"/>
              <w:rPr>
                <w:b/>
                <w:vertAlign w:val="superscript"/>
              </w:rPr>
            </w:pPr>
            <w:r>
              <w:rPr>
                <w:rFonts w:ascii="Times New Roman" w:eastAsia="Times New Roman" w:hAnsi="Times New Roman" w:cs="Times New Roman"/>
                <w:b/>
                <w:vertAlign w:val="superscript"/>
              </w:rPr>
              <w:t>расходы всего</w:t>
            </w:r>
          </w:p>
        </w:tc>
        <w:tc>
          <w:tcPr>
            <w:tcW w:w="1051" w:type="dxa"/>
          </w:tcPr>
          <w:p w:rsidR="00DD412F" w:rsidRDefault="00DD412F">
            <w:pPr>
              <w:widowControl w:val="0"/>
              <w:spacing w:after="0" w:line="240" w:lineRule="auto"/>
              <w:jc w:val="both"/>
              <w:rPr>
                <w:b/>
                <w:vertAlign w:val="superscript"/>
              </w:rPr>
            </w:pPr>
            <w:r>
              <w:rPr>
                <w:b/>
                <w:vertAlign w:val="superscript"/>
              </w:rPr>
              <w:t>8 414 989,95</w:t>
            </w:r>
          </w:p>
        </w:tc>
        <w:tc>
          <w:tcPr>
            <w:tcW w:w="1338" w:type="dxa"/>
          </w:tcPr>
          <w:p w:rsidR="00DD412F" w:rsidRDefault="00DD412F">
            <w:pPr>
              <w:widowControl w:val="0"/>
              <w:spacing w:after="0" w:line="240" w:lineRule="auto"/>
              <w:jc w:val="both"/>
              <w:rPr>
                <w:b/>
                <w:vertAlign w:val="superscript"/>
              </w:rPr>
            </w:pPr>
            <w:r>
              <w:rPr>
                <w:b/>
                <w:vertAlign w:val="superscript"/>
              </w:rPr>
              <w:t>16 619 845,93</w:t>
            </w:r>
          </w:p>
        </w:tc>
        <w:tc>
          <w:tcPr>
            <w:tcW w:w="1213" w:type="dxa"/>
          </w:tcPr>
          <w:p w:rsidR="00DD412F" w:rsidRDefault="00DD412F" w:rsidP="009D4E5A">
            <w:pPr>
              <w:widowControl w:val="0"/>
              <w:spacing w:after="0" w:line="240" w:lineRule="auto"/>
              <w:jc w:val="both"/>
              <w:rPr>
                <w:b/>
                <w:vertAlign w:val="superscript"/>
              </w:rPr>
            </w:pPr>
            <w:r>
              <w:rPr>
                <w:b/>
                <w:vertAlign w:val="superscript"/>
              </w:rPr>
              <w:t>10 070 061,65</w:t>
            </w:r>
          </w:p>
        </w:tc>
        <w:tc>
          <w:tcPr>
            <w:tcW w:w="851" w:type="dxa"/>
          </w:tcPr>
          <w:p w:rsidR="00DD412F" w:rsidRDefault="00DD412F" w:rsidP="009D4E5A">
            <w:pPr>
              <w:widowControl w:val="0"/>
              <w:spacing w:after="0" w:line="240" w:lineRule="auto"/>
              <w:jc w:val="both"/>
              <w:rPr>
                <w:b/>
                <w:vertAlign w:val="superscript"/>
              </w:rPr>
            </w:pPr>
            <w:r>
              <w:rPr>
                <w:b/>
                <w:vertAlign w:val="superscript"/>
              </w:rPr>
              <w:t>119,67</w:t>
            </w:r>
          </w:p>
        </w:tc>
        <w:tc>
          <w:tcPr>
            <w:tcW w:w="709" w:type="dxa"/>
          </w:tcPr>
          <w:p w:rsidR="00DD412F" w:rsidRDefault="00DD412F" w:rsidP="009D4E5A">
            <w:pPr>
              <w:widowControl w:val="0"/>
              <w:spacing w:after="0" w:line="240" w:lineRule="auto"/>
              <w:jc w:val="both"/>
              <w:rPr>
                <w:b/>
                <w:vertAlign w:val="superscript"/>
              </w:rPr>
            </w:pPr>
            <w:r>
              <w:rPr>
                <w:b/>
                <w:vertAlign w:val="superscript"/>
              </w:rPr>
              <w:t>60,59</w:t>
            </w:r>
          </w:p>
        </w:tc>
        <w:tc>
          <w:tcPr>
            <w:tcW w:w="992" w:type="dxa"/>
          </w:tcPr>
          <w:p w:rsidR="00DD412F" w:rsidRDefault="00DD412F" w:rsidP="009D4E5A">
            <w:pPr>
              <w:widowControl w:val="0"/>
              <w:spacing w:after="0" w:line="240" w:lineRule="auto"/>
              <w:jc w:val="both"/>
              <w:rPr>
                <w:b/>
                <w:vertAlign w:val="superscript"/>
              </w:rPr>
            </w:pPr>
            <w:r>
              <w:rPr>
                <w:b/>
                <w:vertAlign w:val="superscript"/>
              </w:rPr>
              <w:t>9 349 911,42</w:t>
            </w:r>
          </w:p>
        </w:tc>
        <w:tc>
          <w:tcPr>
            <w:tcW w:w="709" w:type="dxa"/>
          </w:tcPr>
          <w:p w:rsidR="00DD412F" w:rsidRDefault="00DD412F" w:rsidP="009D4E5A">
            <w:pPr>
              <w:widowControl w:val="0"/>
              <w:spacing w:after="0" w:line="240" w:lineRule="auto"/>
              <w:jc w:val="both"/>
              <w:rPr>
                <w:b/>
                <w:vertAlign w:val="superscript"/>
              </w:rPr>
            </w:pPr>
            <w:r>
              <w:rPr>
                <w:b/>
                <w:vertAlign w:val="superscript"/>
              </w:rPr>
              <w:t>92,85</w:t>
            </w:r>
          </w:p>
        </w:tc>
        <w:tc>
          <w:tcPr>
            <w:tcW w:w="992" w:type="dxa"/>
          </w:tcPr>
          <w:p w:rsidR="00DD412F" w:rsidRDefault="00DD412F" w:rsidP="009D4E5A">
            <w:pPr>
              <w:widowControl w:val="0"/>
              <w:spacing w:after="0" w:line="240" w:lineRule="auto"/>
              <w:jc w:val="both"/>
              <w:rPr>
                <w:b/>
                <w:vertAlign w:val="superscript"/>
              </w:rPr>
            </w:pPr>
            <w:r>
              <w:rPr>
                <w:b/>
                <w:vertAlign w:val="superscript"/>
              </w:rPr>
              <w:t>9 999 431,17</w:t>
            </w:r>
          </w:p>
        </w:tc>
        <w:tc>
          <w:tcPr>
            <w:tcW w:w="674" w:type="dxa"/>
          </w:tcPr>
          <w:p w:rsidR="00DD412F" w:rsidRDefault="00DD412F">
            <w:pPr>
              <w:widowControl w:val="0"/>
              <w:spacing w:after="0" w:line="240" w:lineRule="auto"/>
              <w:jc w:val="both"/>
              <w:rPr>
                <w:b/>
                <w:vertAlign w:val="superscript"/>
              </w:rPr>
            </w:pPr>
            <w:r>
              <w:rPr>
                <w:b/>
                <w:vertAlign w:val="superscript"/>
              </w:rPr>
              <w:t>106,95</w:t>
            </w:r>
          </w:p>
        </w:tc>
      </w:tr>
      <w:tr w:rsidR="00DD412F" w:rsidTr="007F275B">
        <w:tc>
          <w:tcPr>
            <w:tcW w:w="1042" w:type="dxa"/>
          </w:tcPr>
          <w:p w:rsidR="00DD412F" w:rsidRDefault="00DD412F">
            <w:pPr>
              <w:spacing w:after="0" w:line="240" w:lineRule="auto"/>
              <w:jc w:val="both"/>
              <w:rPr>
                <w:vertAlign w:val="superscript"/>
              </w:rPr>
            </w:pPr>
            <w:r>
              <w:rPr>
                <w:rFonts w:ascii="Times New Roman" w:eastAsia="Times New Roman" w:hAnsi="Times New Roman" w:cs="Times New Roman"/>
                <w:vertAlign w:val="superscript"/>
              </w:rPr>
              <w:t>в том числе:</w:t>
            </w:r>
          </w:p>
        </w:tc>
        <w:tc>
          <w:tcPr>
            <w:tcW w:w="1051" w:type="dxa"/>
          </w:tcPr>
          <w:p w:rsidR="00DD412F" w:rsidRDefault="00DD412F">
            <w:pPr>
              <w:widowControl w:val="0"/>
              <w:spacing w:after="0" w:line="240" w:lineRule="auto"/>
              <w:jc w:val="both"/>
              <w:rPr>
                <w:vertAlign w:val="superscript"/>
              </w:rPr>
            </w:pPr>
          </w:p>
        </w:tc>
        <w:tc>
          <w:tcPr>
            <w:tcW w:w="1338" w:type="dxa"/>
          </w:tcPr>
          <w:p w:rsidR="00DD412F" w:rsidRDefault="00DD412F">
            <w:pPr>
              <w:widowControl w:val="0"/>
              <w:spacing w:after="0" w:line="240" w:lineRule="auto"/>
              <w:jc w:val="both"/>
              <w:rPr>
                <w:vertAlign w:val="superscript"/>
              </w:rPr>
            </w:pPr>
          </w:p>
        </w:tc>
        <w:tc>
          <w:tcPr>
            <w:tcW w:w="1213" w:type="dxa"/>
          </w:tcPr>
          <w:p w:rsidR="00DD412F" w:rsidRDefault="00DD412F">
            <w:pPr>
              <w:widowControl w:val="0"/>
              <w:spacing w:after="0" w:line="240" w:lineRule="auto"/>
              <w:jc w:val="both"/>
              <w:rPr>
                <w:vertAlign w:val="superscript"/>
              </w:rPr>
            </w:pPr>
          </w:p>
        </w:tc>
        <w:tc>
          <w:tcPr>
            <w:tcW w:w="851" w:type="dxa"/>
          </w:tcPr>
          <w:p w:rsidR="00DD412F" w:rsidRDefault="00DD412F">
            <w:pPr>
              <w:widowControl w:val="0"/>
              <w:spacing w:after="0" w:line="240" w:lineRule="auto"/>
              <w:jc w:val="both"/>
              <w:rPr>
                <w:vertAlign w:val="superscript"/>
              </w:rPr>
            </w:pPr>
          </w:p>
        </w:tc>
        <w:tc>
          <w:tcPr>
            <w:tcW w:w="709" w:type="dxa"/>
          </w:tcPr>
          <w:p w:rsidR="00DD412F" w:rsidRDefault="00DD412F">
            <w:pPr>
              <w:widowControl w:val="0"/>
              <w:spacing w:after="0" w:line="240" w:lineRule="auto"/>
              <w:jc w:val="both"/>
              <w:rPr>
                <w:vertAlign w:val="superscript"/>
              </w:rPr>
            </w:pPr>
          </w:p>
        </w:tc>
        <w:tc>
          <w:tcPr>
            <w:tcW w:w="992" w:type="dxa"/>
          </w:tcPr>
          <w:p w:rsidR="00DD412F" w:rsidRDefault="00DD412F">
            <w:pPr>
              <w:widowControl w:val="0"/>
              <w:spacing w:after="0" w:line="240" w:lineRule="auto"/>
              <w:jc w:val="both"/>
              <w:rPr>
                <w:vertAlign w:val="superscript"/>
              </w:rPr>
            </w:pPr>
          </w:p>
        </w:tc>
        <w:tc>
          <w:tcPr>
            <w:tcW w:w="709" w:type="dxa"/>
          </w:tcPr>
          <w:p w:rsidR="00DD412F" w:rsidRDefault="00DD412F">
            <w:pPr>
              <w:widowControl w:val="0"/>
              <w:spacing w:after="0" w:line="240" w:lineRule="auto"/>
              <w:jc w:val="both"/>
              <w:rPr>
                <w:vertAlign w:val="superscript"/>
              </w:rPr>
            </w:pPr>
          </w:p>
        </w:tc>
        <w:tc>
          <w:tcPr>
            <w:tcW w:w="992" w:type="dxa"/>
          </w:tcPr>
          <w:p w:rsidR="00DD412F" w:rsidRDefault="00DD412F">
            <w:pPr>
              <w:widowControl w:val="0"/>
              <w:spacing w:after="0" w:line="240" w:lineRule="auto"/>
              <w:jc w:val="both"/>
              <w:rPr>
                <w:vertAlign w:val="superscript"/>
              </w:rPr>
            </w:pPr>
          </w:p>
        </w:tc>
        <w:tc>
          <w:tcPr>
            <w:tcW w:w="674" w:type="dxa"/>
          </w:tcPr>
          <w:p w:rsidR="00DD412F" w:rsidRDefault="00DD412F">
            <w:pPr>
              <w:widowControl w:val="0"/>
              <w:spacing w:after="0" w:line="240" w:lineRule="auto"/>
              <w:jc w:val="both"/>
              <w:rPr>
                <w:vertAlign w:val="superscript"/>
              </w:rPr>
            </w:pPr>
          </w:p>
        </w:tc>
      </w:tr>
      <w:tr w:rsidR="00DD412F" w:rsidTr="007F275B">
        <w:tc>
          <w:tcPr>
            <w:tcW w:w="1042" w:type="dxa"/>
          </w:tcPr>
          <w:p w:rsidR="00DD412F" w:rsidRDefault="00DD412F">
            <w:pPr>
              <w:spacing w:after="0" w:line="240" w:lineRule="auto"/>
              <w:jc w:val="both"/>
              <w:rPr>
                <w:vertAlign w:val="superscript"/>
              </w:rPr>
            </w:pPr>
            <w:r>
              <w:rPr>
                <w:rFonts w:ascii="Times New Roman" w:eastAsia="Times New Roman" w:hAnsi="Times New Roman" w:cs="Times New Roman"/>
                <w:vertAlign w:val="superscript"/>
              </w:rPr>
              <w:t xml:space="preserve">за счет налоговых и неналоговых доходов, </w:t>
            </w:r>
            <w:r>
              <w:rPr>
                <w:rFonts w:ascii="Times New Roman" w:eastAsia="Times New Roman" w:hAnsi="Times New Roman" w:cs="Times New Roman"/>
                <w:vertAlign w:val="superscript"/>
              </w:rPr>
              <w:lastRenderedPageBreak/>
              <w:t>поступлений нецелевого характера</w:t>
            </w:r>
          </w:p>
        </w:tc>
        <w:tc>
          <w:tcPr>
            <w:tcW w:w="1051" w:type="dxa"/>
          </w:tcPr>
          <w:p w:rsidR="00DD412F" w:rsidRDefault="00DD412F">
            <w:pPr>
              <w:widowControl w:val="0"/>
              <w:spacing w:after="0" w:line="240" w:lineRule="auto"/>
              <w:jc w:val="both"/>
              <w:rPr>
                <w:vertAlign w:val="superscript"/>
              </w:rPr>
            </w:pPr>
            <w:r>
              <w:rPr>
                <w:vertAlign w:val="superscript"/>
              </w:rPr>
              <w:lastRenderedPageBreak/>
              <w:t>8 215 136,95</w:t>
            </w:r>
          </w:p>
        </w:tc>
        <w:tc>
          <w:tcPr>
            <w:tcW w:w="1338" w:type="dxa"/>
          </w:tcPr>
          <w:p w:rsidR="00DD412F" w:rsidRDefault="00CE60D8">
            <w:pPr>
              <w:widowControl w:val="0"/>
              <w:spacing w:after="0" w:line="240" w:lineRule="auto"/>
              <w:jc w:val="both"/>
              <w:rPr>
                <w:vertAlign w:val="superscript"/>
              </w:rPr>
            </w:pPr>
            <w:r>
              <w:rPr>
                <w:vertAlign w:val="superscript"/>
              </w:rPr>
              <w:t>11 387 332,75</w:t>
            </w:r>
          </w:p>
        </w:tc>
        <w:tc>
          <w:tcPr>
            <w:tcW w:w="1213" w:type="dxa"/>
          </w:tcPr>
          <w:p w:rsidR="00DD412F" w:rsidRDefault="00DD412F">
            <w:pPr>
              <w:widowControl w:val="0"/>
              <w:spacing w:after="0" w:line="240" w:lineRule="auto"/>
              <w:jc w:val="both"/>
              <w:rPr>
                <w:b/>
                <w:vertAlign w:val="superscript"/>
              </w:rPr>
            </w:pPr>
            <w:r>
              <w:rPr>
                <w:b/>
                <w:vertAlign w:val="superscript"/>
              </w:rPr>
              <w:t>10 070 061,65</w:t>
            </w:r>
          </w:p>
        </w:tc>
        <w:tc>
          <w:tcPr>
            <w:tcW w:w="851" w:type="dxa"/>
          </w:tcPr>
          <w:p w:rsidR="00DD412F" w:rsidRDefault="00DD412F" w:rsidP="009D4E5A">
            <w:pPr>
              <w:widowControl w:val="0"/>
              <w:spacing w:after="0" w:line="240" w:lineRule="auto"/>
              <w:jc w:val="both"/>
              <w:rPr>
                <w:b/>
                <w:vertAlign w:val="superscript"/>
              </w:rPr>
            </w:pPr>
            <w:r>
              <w:rPr>
                <w:b/>
                <w:vertAlign w:val="superscript"/>
              </w:rPr>
              <w:t>119,67</w:t>
            </w:r>
          </w:p>
        </w:tc>
        <w:tc>
          <w:tcPr>
            <w:tcW w:w="709" w:type="dxa"/>
          </w:tcPr>
          <w:p w:rsidR="00DD412F" w:rsidRDefault="00CE60D8" w:rsidP="009D4E5A">
            <w:pPr>
              <w:widowControl w:val="0"/>
              <w:spacing w:after="0" w:line="240" w:lineRule="auto"/>
              <w:jc w:val="both"/>
              <w:rPr>
                <w:b/>
                <w:vertAlign w:val="superscript"/>
              </w:rPr>
            </w:pPr>
            <w:r>
              <w:rPr>
                <w:b/>
                <w:vertAlign w:val="superscript"/>
              </w:rPr>
              <w:t>88,43</w:t>
            </w:r>
          </w:p>
        </w:tc>
        <w:tc>
          <w:tcPr>
            <w:tcW w:w="992" w:type="dxa"/>
          </w:tcPr>
          <w:p w:rsidR="00DD412F" w:rsidRDefault="00DD412F">
            <w:pPr>
              <w:widowControl w:val="0"/>
              <w:spacing w:after="0" w:line="240" w:lineRule="auto"/>
              <w:jc w:val="both"/>
              <w:rPr>
                <w:b/>
                <w:vertAlign w:val="superscript"/>
              </w:rPr>
            </w:pPr>
            <w:r>
              <w:rPr>
                <w:b/>
                <w:vertAlign w:val="superscript"/>
              </w:rPr>
              <w:t>9 349 911,42</w:t>
            </w:r>
          </w:p>
        </w:tc>
        <w:tc>
          <w:tcPr>
            <w:tcW w:w="709" w:type="dxa"/>
          </w:tcPr>
          <w:p w:rsidR="00DD412F" w:rsidRDefault="00DD412F">
            <w:pPr>
              <w:widowControl w:val="0"/>
              <w:spacing w:after="0" w:line="240" w:lineRule="auto"/>
              <w:jc w:val="both"/>
              <w:rPr>
                <w:b/>
                <w:vertAlign w:val="superscript"/>
              </w:rPr>
            </w:pPr>
            <w:r>
              <w:rPr>
                <w:b/>
                <w:vertAlign w:val="superscript"/>
              </w:rPr>
              <w:t>92,85</w:t>
            </w:r>
          </w:p>
        </w:tc>
        <w:tc>
          <w:tcPr>
            <w:tcW w:w="992" w:type="dxa"/>
          </w:tcPr>
          <w:p w:rsidR="00DD412F" w:rsidRDefault="00DD412F">
            <w:pPr>
              <w:widowControl w:val="0"/>
              <w:spacing w:after="0" w:line="240" w:lineRule="auto"/>
              <w:jc w:val="both"/>
              <w:rPr>
                <w:b/>
                <w:vertAlign w:val="superscript"/>
              </w:rPr>
            </w:pPr>
            <w:r>
              <w:rPr>
                <w:b/>
                <w:vertAlign w:val="superscript"/>
              </w:rPr>
              <w:t>9 999 431,17</w:t>
            </w:r>
          </w:p>
        </w:tc>
        <w:tc>
          <w:tcPr>
            <w:tcW w:w="674" w:type="dxa"/>
          </w:tcPr>
          <w:p w:rsidR="00DD412F" w:rsidRDefault="00DD412F">
            <w:pPr>
              <w:widowControl w:val="0"/>
              <w:spacing w:after="0" w:line="240" w:lineRule="auto"/>
              <w:jc w:val="both"/>
              <w:rPr>
                <w:b/>
                <w:vertAlign w:val="superscript"/>
              </w:rPr>
            </w:pPr>
            <w:r>
              <w:rPr>
                <w:b/>
                <w:vertAlign w:val="superscript"/>
              </w:rPr>
              <w:t>106,95</w:t>
            </w:r>
          </w:p>
        </w:tc>
      </w:tr>
      <w:tr w:rsidR="00DD412F" w:rsidTr="007F275B">
        <w:tc>
          <w:tcPr>
            <w:tcW w:w="1042" w:type="dxa"/>
          </w:tcPr>
          <w:p w:rsidR="00DD412F" w:rsidRDefault="00DD412F">
            <w:pPr>
              <w:spacing w:after="0" w:line="240" w:lineRule="auto"/>
              <w:jc w:val="both"/>
              <w:rPr>
                <w:vertAlign w:val="superscript"/>
              </w:rPr>
            </w:pPr>
            <w:r>
              <w:rPr>
                <w:rFonts w:ascii="Times New Roman" w:eastAsia="Times New Roman" w:hAnsi="Times New Roman" w:cs="Times New Roman"/>
                <w:vertAlign w:val="superscript"/>
              </w:rPr>
              <w:lastRenderedPageBreak/>
              <w:t>условно утверждаемые расходы</w:t>
            </w:r>
          </w:p>
        </w:tc>
        <w:tc>
          <w:tcPr>
            <w:tcW w:w="1051" w:type="dxa"/>
          </w:tcPr>
          <w:p w:rsidR="00DD412F" w:rsidRDefault="00DD412F">
            <w:pPr>
              <w:widowControl w:val="0"/>
              <w:spacing w:after="0" w:line="240" w:lineRule="auto"/>
              <w:jc w:val="both"/>
              <w:rPr>
                <w:sz w:val="24"/>
                <w:szCs w:val="24"/>
                <w:vertAlign w:val="superscript"/>
              </w:rPr>
            </w:pPr>
            <w:r>
              <w:rPr>
                <w:sz w:val="24"/>
                <w:szCs w:val="24"/>
                <w:vertAlign w:val="superscript"/>
              </w:rPr>
              <w:t>-</w:t>
            </w:r>
          </w:p>
        </w:tc>
        <w:tc>
          <w:tcPr>
            <w:tcW w:w="1338" w:type="dxa"/>
          </w:tcPr>
          <w:p w:rsidR="00DD412F" w:rsidRDefault="00DD412F">
            <w:pPr>
              <w:widowControl w:val="0"/>
              <w:spacing w:after="0" w:line="240" w:lineRule="auto"/>
              <w:jc w:val="both"/>
              <w:rPr>
                <w:sz w:val="24"/>
                <w:szCs w:val="24"/>
                <w:vertAlign w:val="superscript"/>
              </w:rPr>
            </w:pPr>
          </w:p>
        </w:tc>
        <w:tc>
          <w:tcPr>
            <w:tcW w:w="1213" w:type="dxa"/>
          </w:tcPr>
          <w:p w:rsidR="00DD412F" w:rsidRDefault="00DD412F">
            <w:pPr>
              <w:widowControl w:val="0"/>
              <w:spacing w:after="0" w:line="240" w:lineRule="auto"/>
              <w:jc w:val="both"/>
              <w:rPr>
                <w:sz w:val="24"/>
                <w:szCs w:val="24"/>
                <w:vertAlign w:val="superscript"/>
              </w:rPr>
            </w:pPr>
            <w:r>
              <w:rPr>
                <w:sz w:val="24"/>
                <w:szCs w:val="24"/>
                <w:vertAlign w:val="superscript"/>
              </w:rPr>
              <w:t>-</w:t>
            </w:r>
          </w:p>
        </w:tc>
        <w:tc>
          <w:tcPr>
            <w:tcW w:w="851" w:type="dxa"/>
          </w:tcPr>
          <w:p w:rsidR="00DD412F" w:rsidRDefault="00DD412F">
            <w:pPr>
              <w:widowControl w:val="0"/>
              <w:spacing w:after="0" w:line="240" w:lineRule="auto"/>
              <w:jc w:val="both"/>
              <w:rPr>
                <w:sz w:val="24"/>
                <w:szCs w:val="24"/>
                <w:vertAlign w:val="superscript"/>
              </w:rPr>
            </w:pPr>
            <w:r>
              <w:rPr>
                <w:sz w:val="24"/>
                <w:szCs w:val="24"/>
                <w:vertAlign w:val="superscript"/>
              </w:rPr>
              <w:t>-</w:t>
            </w:r>
          </w:p>
        </w:tc>
        <w:tc>
          <w:tcPr>
            <w:tcW w:w="709" w:type="dxa"/>
          </w:tcPr>
          <w:p w:rsidR="00DD412F" w:rsidRDefault="00DD412F">
            <w:pPr>
              <w:widowControl w:val="0"/>
              <w:spacing w:after="0" w:line="240" w:lineRule="auto"/>
              <w:jc w:val="both"/>
              <w:rPr>
                <w:sz w:val="24"/>
                <w:szCs w:val="24"/>
                <w:vertAlign w:val="superscript"/>
              </w:rPr>
            </w:pPr>
            <w:r>
              <w:rPr>
                <w:sz w:val="24"/>
                <w:szCs w:val="24"/>
                <w:vertAlign w:val="superscript"/>
              </w:rPr>
              <w:t>-</w:t>
            </w:r>
          </w:p>
        </w:tc>
        <w:tc>
          <w:tcPr>
            <w:tcW w:w="992" w:type="dxa"/>
          </w:tcPr>
          <w:p w:rsidR="00DD412F" w:rsidRDefault="00DD412F">
            <w:pPr>
              <w:widowControl w:val="0"/>
              <w:spacing w:after="0" w:line="240" w:lineRule="auto"/>
              <w:jc w:val="both"/>
              <w:rPr>
                <w:sz w:val="24"/>
                <w:szCs w:val="24"/>
                <w:vertAlign w:val="superscript"/>
              </w:rPr>
            </w:pPr>
            <w:r>
              <w:rPr>
                <w:sz w:val="24"/>
                <w:szCs w:val="24"/>
                <w:vertAlign w:val="superscript"/>
              </w:rPr>
              <w:t>233 748,00</w:t>
            </w:r>
          </w:p>
        </w:tc>
        <w:tc>
          <w:tcPr>
            <w:tcW w:w="709" w:type="dxa"/>
          </w:tcPr>
          <w:p w:rsidR="00DD412F" w:rsidRDefault="00DD412F">
            <w:pPr>
              <w:widowControl w:val="0"/>
              <w:spacing w:after="0" w:line="240" w:lineRule="auto"/>
              <w:jc w:val="both"/>
              <w:rPr>
                <w:sz w:val="24"/>
                <w:szCs w:val="24"/>
                <w:vertAlign w:val="superscript"/>
              </w:rPr>
            </w:pPr>
            <w:r>
              <w:rPr>
                <w:sz w:val="24"/>
                <w:szCs w:val="24"/>
                <w:vertAlign w:val="superscript"/>
              </w:rPr>
              <w:t>-</w:t>
            </w:r>
          </w:p>
        </w:tc>
        <w:tc>
          <w:tcPr>
            <w:tcW w:w="992" w:type="dxa"/>
          </w:tcPr>
          <w:p w:rsidR="00DD412F" w:rsidRDefault="00DD412F">
            <w:pPr>
              <w:widowControl w:val="0"/>
              <w:spacing w:after="0" w:line="240" w:lineRule="auto"/>
              <w:jc w:val="both"/>
              <w:rPr>
                <w:sz w:val="24"/>
                <w:szCs w:val="24"/>
                <w:vertAlign w:val="superscript"/>
              </w:rPr>
            </w:pPr>
            <w:r>
              <w:rPr>
                <w:sz w:val="24"/>
                <w:szCs w:val="24"/>
                <w:vertAlign w:val="superscript"/>
              </w:rPr>
              <w:t>499 972,00</w:t>
            </w:r>
          </w:p>
        </w:tc>
        <w:tc>
          <w:tcPr>
            <w:tcW w:w="674" w:type="dxa"/>
          </w:tcPr>
          <w:p w:rsidR="00DD412F" w:rsidRDefault="006873D8">
            <w:pPr>
              <w:widowControl w:val="0"/>
              <w:spacing w:after="0" w:line="240" w:lineRule="auto"/>
              <w:jc w:val="both"/>
              <w:rPr>
                <w:sz w:val="24"/>
                <w:szCs w:val="24"/>
                <w:vertAlign w:val="superscript"/>
              </w:rPr>
            </w:pPr>
            <w:r>
              <w:rPr>
                <w:sz w:val="24"/>
                <w:szCs w:val="24"/>
                <w:vertAlign w:val="superscript"/>
              </w:rPr>
              <w:t>213,89</w:t>
            </w:r>
          </w:p>
        </w:tc>
      </w:tr>
      <w:tr w:rsidR="00DD412F" w:rsidTr="007F275B">
        <w:tc>
          <w:tcPr>
            <w:tcW w:w="1042" w:type="dxa"/>
          </w:tcPr>
          <w:p w:rsidR="00DD412F" w:rsidRDefault="00DD412F">
            <w:pPr>
              <w:spacing w:after="0" w:line="240" w:lineRule="auto"/>
              <w:jc w:val="both"/>
              <w:rPr>
                <w:vertAlign w:val="superscript"/>
              </w:rPr>
            </w:pPr>
            <w:r>
              <w:rPr>
                <w:rFonts w:ascii="Times New Roman" w:eastAsia="Times New Roman" w:hAnsi="Times New Roman" w:cs="Times New Roman"/>
                <w:vertAlign w:val="superscript"/>
              </w:rPr>
              <w:t>Дефицит (-), профицит (+)</w:t>
            </w:r>
          </w:p>
        </w:tc>
        <w:tc>
          <w:tcPr>
            <w:tcW w:w="1051" w:type="dxa"/>
          </w:tcPr>
          <w:p w:rsidR="00DD412F" w:rsidRDefault="00DD412F">
            <w:pPr>
              <w:widowControl w:val="0"/>
              <w:spacing w:after="0" w:line="240" w:lineRule="auto"/>
              <w:jc w:val="both"/>
              <w:rPr>
                <w:sz w:val="24"/>
                <w:szCs w:val="24"/>
                <w:vertAlign w:val="superscript"/>
              </w:rPr>
            </w:pPr>
            <w:r>
              <w:rPr>
                <w:sz w:val="24"/>
                <w:szCs w:val="24"/>
                <w:vertAlign w:val="superscript"/>
              </w:rPr>
              <w:t>0,00</w:t>
            </w:r>
          </w:p>
        </w:tc>
        <w:tc>
          <w:tcPr>
            <w:tcW w:w="1338" w:type="dxa"/>
          </w:tcPr>
          <w:p w:rsidR="00DD412F" w:rsidRDefault="00DD412F">
            <w:pPr>
              <w:widowControl w:val="0"/>
              <w:spacing w:after="0" w:line="240" w:lineRule="auto"/>
              <w:jc w:val="both"/>
              <w:rPr>
                <w:sz w:val="24"/>
                <w:szCs w:val="24"/>
                <w:vertAlign w:val="superscript"/>
              </w:rPr>
            </w:pPr>
            <w:r>
              <w:rPr>
                <w:sz w:val="24"/>
                <w:szCs w:val="24"/>
                <w:vertAlign w:val="superscript"/>
              </w:rPr>
              <w:t>-3 162 468,12</w:t>
            </w:r>
          </w:p>
        </w:tc>
        <w:tc>
          <w:tcPr>
            <w:tcW w:w="1213" w:type="dxa"/>
          </w:tcPr>
          <w:p w:rsidR="00DD412F" w:rsidRDefault="00DD412F">
            <w:pPr>
              <w:widowControl w:val="0"/>
              <w:spacing w:after="0" w:line="240" w:lineRule="auto"/>
              <w:jc w:val="both"/>
              <w:rPr>
                <w:sz w:val="24"/>
                <w:szCs w:val="24"/>
                <w:vertAlign w:val="superscript"/>
              </w:rPr>
            </w:pPr>
            <w:r>
              <w:rPr>
                <w:sz w:val="24"/>
                <w:szCs w:val="24"/>
                <w:vertAlign w:val="superscript"/>
              </w:rPr>
              <w:t>0,00</w:t>
            </w:r>
          </w:p>
        </w:tc>
        <w:tc>
          <w:tcPr>
            <w:tcW w:w="851" w:type="dxa"/>
          </w:tcPr>
          <w:p w:rsidR="00DD412F" w:rsidRDefault="00DD412F">
            <w:pPr>
              <w:widowControl w:val="0"/>
              <w:spacing w:after="0" w:line="240" w:lineRule="auto"/>
              <w:jc w:val="both"/>
              <w:rPr>
                <w:sz w:val="24"/>
                <w:szCs w:val="24"/>
                <w:vertAlign w:val="superscript"/>
              </w:rPr>
            </w:pPr>
            <w:r>
              <w:rPr>
                <w:sz w:val="24"/>
                <w:szCs w:val="24"/>
                <w:vertAlign w:val="superscript"/>
              </w:rPr>
              <w:t>-</w:t>
            </w:r>
          </w:p>
        </w:tc>
        <w:tc>
          <w:tcPr>
            <w:tcW w:w="709" w:type="dxa"/>
          </w:tcPr>
          <w:p w:rsidR="00DD412F" w:rsidRDefault="00DD412F">
            <w:pPr>
              <w:widowControl w:val="0"/>
              <w:spacing w:after="0" w:line="240" w:lineRule="auto"/>
              <w:jc w:val="both"/>
              <w:rPr>
                <w:sz w:val="24"/>
                <w:szCs w:val="24"/>
                <w:vertAlign w:val="superscript"/>
              </w:rPr>
            </w:pPr>
            <w:r>
              <w:rPr>
                <w:sz w:val="24"/>
                <w:szCs w:val="24"/>
                <w:vertAlign w:val="superscript"/>
              </w:rPr>
              <w:t>-</w:t>
            </w:r>
          </w:p>
        </w:tc>
        <w:tc>
          <w:tcPr>
            <w:tcW w:w="992" w:type="dxa"/>
          </w:tcPr>
          <w:p w:rsidR="00DD412F" w:rsidRDefault="00DD412F">
            <w:pPr>
              <w:widowControl w:val="0"/>
              <w:spacing w:after="0" w:line="240" w:lineRule="auto"/>
              <w:jc w:val="both"/>
              <w:rPr>
                <w:sz w:val="24"/>
                <w:szCs w:val="24"/>
                <w:vertAlign w:val="superscript"/>
              </w:rPr>
            </w:pPr>
            <w:r>
              <w:rPr>
                <w:sz w:val="24"/>
                <w:szCs w:val="24"/>
                <w:vertAlign w:val="superscript"/>
              </w:rPr>
              <w:t>0,00</w:t>
            </w:r>
          </w:p>
        </w:tc>
        <w:tc>
          <w:tcPr>
            <w:tcW w:w="709" w:type="dxa"/>
          </w:tcPr>
          <w:p w:rsidR="00DD412F" w:rsidRDefault="00DD412F">
            <w:pPr>
              <w:widowControl w:val="0"/>
              <w:spacing w:after="0" w:line="240" w:lineRule="auto"/>
              <w:jc w:val="both"/>
              <w:rPr>
                <w:sz w:val="24"/>
                <w:szCs w:val="24"/>
                <w:vertAlign w:val="superscript"/>
              </w:rPr>
            </w:pPr>
            <w:r>
              <w:rPr>
                <w:sz w:val="24"/>
                <w:szCs w:val="24"/>
                <w:vertAlign w:val="superscript"/>
              </w:rPr>
              <w:t>-</w:t>
            </w:r>
          </w:p>
        </w:tc>
        <w:tc>
          <w:tcPr>
            <w:tcW w:w="992" w:type="dxa"/>
          </w:tcPr>
          <w:p w:rsidR="00DD412F" w:rsidRDefault="00DD412F">
            <w:pPr>
              <w:widowControl w:val="0"/>
              <w:spacing w:after="0" w:line="240" w:lineRule="auto"/>
              <w:jc w:val="both"/>
              <w:rPr>
                <w:sz w:val="24"/>
                <w:szCs w:val="24"/>
                <w:vertAlign w:val="superscript"/>
              </w:rPr>
            </w:pPr>
            <w:r>
              <w:rPr>
                <w:sz w:val="24"/>
                <w:szCs w:val="24"/>
                <w:vertAlign w:val="superscript"/>
              </w:rPr>
              <w:t>0,00</w:t>
            </w:r>
          </w:p>
        </w:tc>
        <w:tc>
          <w:tcPr>
            <w:tcW w:w="674" w:type="dxa"/>
          </w:tcPr>
          <w:p w:rsidR="00DD412F" w:rsidRDefault="00DD412F">
            <w:pPr>
              <w:widowControl w:val="0"/>
              <w:spacing w:after="0" w:line="240" w:lineRule="auto"/>
              <w:jc w:val="both"/>
              <w:rPr>
                <w:sz w:val="24"/>
                <w:szCs w:val="24"/>
                <w:vertAlign w:val="superscript"/>
              </w:rPr>
            </w:pPr>
            <w:r>
              <w:rPr>
                <w:sz w:val="24"/>
                <w:szCs w:val="24"/>
                <w:vertAlign w:val="superscript"/>
              </w:rPr>
              <w:t>-</w:t>
            </w:r>
          </w:p>
        </w:tc>
      </w:tr>
    </w:tbl>
    <w:bookmarkEnd w:id="9"/>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бюджета на 202</w:t>
      </w:r>
      <w:r w:rsidR="006873D8">
        <w:rPr>
          <w:rFonts w:ascii="Times New Roman" w:hAnsi="Times New Roman" w:cs="Times New Roman"/>
          <w:sz w:val="24"/>
          <w:szCs w:val="24"/>
        </w:rPr>
        <w:t>4</w:t>
      </w:r>
      <w:r>
        <w:rPr>
          <w:rFonts w:ascii="Times New Roman" w:hAnsi="Times New Roman" w:cs="Times New Roman"/>
          <w:sz w:val="24"/>
          <w:szCs w:val="24"/>
        </w:rPr>
        <w:t xml:space="preserve"> год и плановый период </w:t>
      </w:r>
      <w:r w:rsidR="006873D8">
        <w:rPr>
          <w:rFonts w:ascii="Times New Roman" w:hAnsi="Times New Roman" w:cs="Times New Roman"/>
          <w:sz w:val="24"/>
          <w:szCs w:val="24"/>
        </w:rPr>
        <w:t xml:space="preserve">2025 и 2026 годов </w:t>
      </w:r>
      <w:r>
        <w:rPr>
          <w:rFonts w:ascii="Times New Roman" w:hAnsi="Times New Roman" w:cs="Times New Roman"/>
          <w:sz w:val="24"/>
          <w:szCs w:val="24"/>
        </w:rPr>
        <w:t>соответствует установленным БК РФ принципам сбалансированности бюджета (ст.33 БК РФ) и общего (совокупного) покрытия расходов бюджета (ст.35 БК РФ).</w:t>
      </w:r>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Объем условно утверждаемых расходов на </w:t>
      </w:r>
      <w:r w:rsidR="006873D8">
        <w:rPr>
          <w:rFonts w:ascii="Times New Roman" w:hAnsi="Times New Roman" w:cs="Times New Roman"/>
          <w:sz w:val="24"/>
          <w:szCs w:val="24"/>
        </w:rPr>
        <w:t xml:space="preserve">плановый период </w:t>
      </w:r>
      <w:r>
        <w:rPr>
          <w:rFonts w:ascii="Times New Roman" w:hAnsi="Times New Roman" w:cs="Times New Roman"/>
          <w:sz w:val="24"/>
          <w:szCs w:val="24"/>
        </w:rPr>
        <w:t>202</w:t>
      </w:r>
      <w:r w:rsidR="006873D8">
        <w:rPr>
          <w:rFonts w:ascii="Times New Roman" w:hAnsi="Times New Roman" w:cs="Times New Roman"/>
          <w:sz w:val="24"/>
          <w:szCs w:val="24"/>
        </w:rPr>
        <w:t>5</w:t>
      </w:r>
      <w:r>
        <w:rPr>
          <w:rFonts w:ascii="Times New Roman" w:hAnsi="Times New Roman" w:cs="Times New Roman"/>
          <w:sz w:val="24"/>
          <w:szCs w:val="24"/>
        </w:rPr>
        <w:t xml:space="preserve"> и 202</w:t>
      </w:r>
      <w:r w:rsidR="006873D8">
        <w:rPr>
          <w:rFonts w:ascii="Times New Roman" w:hAnsi="Times New Roman" w:cs="Times New Roman"/>
          <w:sz w:val="24"/>
          <w:szCs w:val="24"/>
        </w:rPr>
        <w:t>6</w:t>
      </w:r>
      <w:r>
        <w:rPr>
          <w:rFonts w:ascii="Times New Roman" w:hAnsi="Times New Roman" w:cs="Times New Roman"/>
          <w:sz w:val="24"/>
          <w:szCs w:val="24"/>
        </w:rPr>
        <w:t xml:space="preserve"> годы сформирован в сумме </w:t>
      </w:r>
      <w:r w:rsidR="006873D8">
        <w:rPr>
          <w:rFonts w:ascii="Times New Roman" w:hAnsi="Times New Roman" w:cs="Times New Roman"/>
          <w:sz w:val="24"/>
          <w:szCs w:val="24"/>
        </w:rPr>
        <w:t>233 748</w:t>
      </w:r>
      <w:r>
        <w:rPr>
          <w:rFonts w:ascii="Times New Roman" w:hAnsi="Times New Roman" w:cs="Times New Roman"/>
          <w:sz w:val="24"/>
          <w:szCs w:val="24"/>
        </w:rPr>
        <w:t xml:space="preserve">,00 рублей и </w:t>
      </w:r>
      <w:r w:rsidR="006873D8">
        <w:rPr>
          <w:rFonts w:ascii="Times New Roman" w:hAnsi="Times New Roman" w:cs="Times New Roman"/>
          <w:sz w:val="24"/>
          <w:szCs w:val="24"/>
        </w:rPr>
        <w:t>499 972</w:t>
      </w:r>
      <w:r>
        <w:rPr>
          <w:rFonts w:ascii="Times New Roman" w:hAnsi="Times New Roman" w:cs="Times New Roman"/>
          <w:sz w:val="24"/>
          <w:szCs w:val="24"/>
        </w:rPr>
        <w:t xml:space="preserve">,00 рублей соответственно (без учета расходов бюджета предусмотренных за счет межбюджетных трансфертов из других бюджетов бюджетной системы РФ, имеющих целевое назначение), что соответствует требованиям п.3 ст 184.1 БК РФ (не менее 2,5% и 5% соответственно по годам).  </w:t>
      </w:r>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Проектом решения предлагается утвердить доходную часть бюджета на 202</w:t>
      </w:r>
      <w:r w:rsidR="006873D8">
        <w:rPr>
          <w:rFonts w:ascii="Times New Roman" w:hAnsi="Times New Roman" w:cs="Times New Roman"/>
          <w:sz w:val="24"/>
          <w:szCs w:val="24"/>
        </w:rPr>
        <w:t>4</w:t>
      </w:r>
      <w:r>
        <w:rPr>
          <w:rFonts w:ascii="Times New Roman" w:hAnsi="Times New Roman" w:cs="Times New Roman"/>
          <w:sz w:val="24"/>
          <w:szCs w:val="24"/>
        </w:rPr>
        <w:t xml:space="preserve"> год  на </w:t>
      </w:r>
      <w:r w:rsidR="006873D8">
        <w:rPr>
          <w:rFonts w:ascii="Times New Roman" w:hAnsi="Times New Roman" w:cs="Times New Roman"/>
          <w:sz w:val="24"/>
          <w:szCs w:val="24"/>
        </w:rPr>
        <w:t>19,67</w:t>
      </w:r>
      <w:r>
        <w:rPr>
          <w:rFonts w:ascii="Times New Roman" w:hAnsi="Times New Roman" w:cs="Times New Roman"/>
          <w:sz w:val="24"/>
          <w:szCs w:val="24"/>
        </w:rPr>
        <w:t>% выше первоначальной редакции бюджета 202</w:t>
      </w:r>
      <w:r w:rsidR="006873D8">
        <w:rPr>
          <w:rFonts w:ascii="Times New Roman" w:hAnsi="Times New Roman" w:cs="Times New Roman"/>
          <w:sz w:val="24"/>
          <w:szCs w:val="24"/>
        </w:rPr>
        <w:t>3</w:t>
      </w:r>
      <w:r>
        <w:rPr>
          <w:rFonts w:ascii="Times New Roman" w:hAnsi="Times New Roman" w:cs="Times New Roman"/>
          <w:sz w:val="24"/>
          <w:szCs w:val="24"/>
        </w:rPr>
        <w:t xml:space="preserve"> года и </w:t>
      </w:r>
      <w:r w:rsidR="006873D8">
        <w:rPr>
          <w:rFonts w:ascii="Times New Roman" w:hAnsi="Times New Roman" w:cs="Times New Roman"/>
          <w:sz w:val="24"/>
          <w:szCs w:val="24"/>
        </w:rPr>
        <w:t>ниже</w:t>
      </w:r>
      <w:r>
        <w:rPr>
          <w:rFonts w:ascii="Times New Roman" w:hAnsi="Times New Roman" w:cs="Times New Roman"/>
          <w:sz w:val="24"/>
          <w:szCs w:val="24"/>
        </w:rPr>
        <w:t xml:space="preserve"> уточненной редакции на </w:t>
      </w:r>
      <w:r w:rsidR="006873D8">
        <w:rPr>
          <w:rFonts w:ascii="Times New Roman" w:hAnsi="Times New Roman" w:cs="Times New Roman"/>
          <w:sz w:val="24"/>
          <w:szCs w:val="24"/>
        </w:rPr>
        <w:t>25,17</w:t>
      </w:r>
      <w:r>
        <w:rPr>
          <w:rFonts w:ascii="Times New Roman" w:hAnsi="Times New Roman" w:cs="Times New Roman"/>
          <w:sz w:val="24"/>
          <w:szCs w:val="24"/>
        </w:rPr>
        <w:t>%. Плановый период 202</w:t>
      </w:r>
      <w:r w:rsidR="006873D8">
        <w:rPr>
          <w:rFonts w:ascii="Times New Roman" w:hAnsi="Times New Roman" w:cs="Times New Roman"/>
          <w:sz w:val="24"/>
          <w:szCs w:val="24"/>
        </w:rPr>
        <w:t>5</w:t>
      </w:r>
      <w:r>
        <w:rPr>
          <w:rFonts w:ascii="Times New Roman" w:hAnsi="Times New Roman" w:cs="Times New Roman"/>
          <w:sz w:val="24"/>
          <w:szCs w:val="24"/>
        </w:rPr>
        <w:t xml:space="preserve"> года запланирован </w:t>
      </w:r>
      <w:r w:rsidR="006873D8">
        <w:rPr>
          <w:rFonts w:ascii="Times New Roman" w:hAnsi="Times New Roman" w:cs="Times New Roman"/>
          <w:sz w:val="24"/>
          <w:szCs w:val="24"/>
        </w:rPr>
        <w:t xml:space="preserve">со снижением к уровню 2024 года на </w:t>
      </w:r>
      <w:r>
        <w:rPr>
          <w:rFonts w:ascii="Times New Roman" w:hAnsi="Times New Roman" w:cs="Times New Roman"/>
          <w:sz w:val="24"/>
          <w:szCs w:val="24"/>
        </w:rPr>
        <w:t xml:space="preserve"> </w:t>
      </w:r>
      <w:r w:rsidR="006873D8">
        <w:rPr>
          <w:rFonts w:ascii="Times New Roman" w:hAnsi="Times New Roman" w:cs="Times New Roman"/>
          <w:sz w:val="24"/>
          <w:szCs w:val="24"/>
        </w:rPr>
        <w:t>7,15%</w:t>
      </w:r>
      <w:r>
        <w:rPr>
          <w:rFonts w:ascii="Times New Roman" w:hAnsi="Times New Roman" w:cs="Times New Roman"/>
          <w:sz w:val="24"/>
          <w:szCs w:val="24"/>
        </w:rPr>
        <w:t>,</w:t>
      </w:r>
      <w:r w:rsidR="006873D8">
        <w:rPr>
          <w:rFonts w:ascii="Times New Roman" w:hAnsi="Times New Roman" w:cs="Times New Roman"/>
          <w:sz w:val="24"/>
          <w:szCs w:val="24"/>
        </w:rPr>
        <w:t xml:space="preserve"> 2026</w:t>
      </w:r>
      <w:r>
        <w:rPr>
          <w:rFonts w:ascii="Times New Roman" w:hAnsi="Times New Roman" w:cs="Times New Roman"/>
          <w:sz w:val="24"/>
          <w:szCs w:val="24"/>
        </w:rPr>
        <w:t xml:space="preserve"> год с превышением </w:t>
      </w:r>
      <w:r w:rsidR="006873D8">
        <w:rPr>
          <w:rFonts w:ascii="Times New Roman" w:hAnsi="Times New Roman" w:cs="Times New Roman"/>
          <w:sz w:val="24"/>
          <w:szCs w:val="24"/>
        </w:rPr>
        <w:t xml:space="preserve">уровня </w:t>
      </w:r>
      <w:r>
        <w:rPr>
          <w:rFonts w:ascii="Times New Roman" w:hAnsi="Times New Roman" w:cs="Times New Roman"/>
          <w:sz w:val="24"/>
          <w:szCs w:val="24"/>
        </w:rPr>
        <w:t xml:space="preserve"> 202</w:t>
      </w:r>
      <w:r w:rsidR="006873D8">
        <w:rPr>
          <w:rFonts w:ascii="Times New Roman" w:hAnsi="Times New Roman" w:cs="Times New Roman"/>
          <w:sz w:val="24"/>
          <w:szCs w:val="24"/>
        </w:rPr>
        <w:t>5</w:t>
      </w:r>
      <w:r>
        <w:rPr>
          <w:rFonts w:ascii="Times New Roman" w:hAnsi="Times New Roman" w:cs="Times New Roman"/>
          <w:sz w:val="24"/>
          <w:szCs w:val="24"/>
        </w:rPr>
        <w:t xml:space="preserve"> года на </w:t>
      </w:r>
      <w:r w:rsidR="006873D8">
        <w:rPr>
          <w:rFonts w:ascii="Times New Roman" w:hAnsi="Times New Roman" w:cs="Times New Roman"/>
          <w:sz w:val="24"/>
          <w:szCs w:val="24"/>
        </w:rPr>
        <w:t>6,95</w:t>
      </w:r>
      <w:r>
        <w:rPr>
          <w:rFonts w:ascii="Times New Roman" w:hAnsi="Times New Roman" w:cs="Times New Roman"/>
          <w:sz w:val="24"/>
          <w:szCs w:val="24"/>
        </w:rPr>
        <w:t>%.</w:t>
      </w:r>
    </w:p>
    <w:p w:rsidR="00D77600" w:rsidRDefault="009D4E5A">
      <w:pPr>
        <w:widowControl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Расходная часть на 202</w:t>
      </w:r>
      <w:r w:rsidR="006873D8">
        <w:rPr>
          <w:rFonts w:ascii="Times New Roman" w:hAnsi="Times New Roman"/>
          <w:sz w:val="24"/>
          <w:szCs w:val="24"/>
        </w:rPr>
        <w:t>4</w:t>
      </w:r>
      <w:r>
        <w:rPr>
          <w:rFonts w:ascii="Times New Roman" w:hAnsi="Times New Roman"/>
          <w:sz w:val="24"/>
          <w:szCs w:val="24"/>
        </w:rPr>
        <w:t xml:space="preserve"> год запланирована также с превышением плановых значений 202</w:t>
      </w:r>
      <w:r w:rsidR="006873D8">
        <w:rPr>
          <w:rFonts w:ascii="Times New Roman" w:hAnsi="Times New Roman"/>
          <w:sz w:val="24"/>
          <w:szCs w:val="24"/>
        </w:rPr>
        <w:t>3</w:t>
      </w:r>
      <w:r>
        <w:rPr>
          <w:rFonts w:ascii="Times New Roman" w:hAnsi="Times New Roman"/>
          <w:sz w:val="24"/>
          <w:szCs w:val="24"/>
        </w:rPr>
        <w:t xml:space="preserve"> года на </w:t>
      </w:r>
      <w:r w:rsidR="006873D8">
        <w:rPr>
          <w:rFonts w:ascii="Times New Roman" w:hAnsi="Times New Roman"/>
          <w:sz w:val="24"/>
          <w:szCs w:val="24"/>
        </w:rPr>
        <w:t>19,67</w:t>
      </w:r>
      <w:r>
        <w:rPr>
          <w:rFonts w:ascii="Times New Roman" w:hAnsi="Times New Roman"/>
          <w:sz w:val="24"/>
          <w:szCs w:val="24"/>
        </w:rPr>
        <w:t xml:space="preserve"> % утвержденного  бюджета в первоначальной редакции, и </w:t>
      </w:r>
      <w:r w:rsidR="006873D8">
        <w:rPr>
          <w:rFonts w:ascii="Times New Roman" w:hAnsi="Times New Roman"/>
          <w:sz w:val="24"/>
          <w:szCs w:val="24"/>
        </w:rPr>
        <w:t>ниже на 39,41</w:t>
      </w:r>
      <w:r>
        <w:rPr>
          <w:rFonts w:ascii="Times New Roman" w:hAnsi="Times New Roman"/>
          <w:sz w:val="24"/>
          <w:szCs w:val="24"/>
        </w:rPr>
        <w:t>% уточненной</w:t>
      </w:r>
      <w:r w:rsidR="006873D8">
        <w:rPr>
          <w:rFonts w:ascii="Times New Roman" w:hAnsi="Times New Roman"/>
          <w:sz w:val="24"/>
          <w:szCs w:val="24"/>
        </w:rPr>
        <w:t xml:space="preserve"> редакции</w:t>
      </w:r>
      <w:r>
        <w:rPr>
          <w:rFonts w:ascii="Times New Roman" w:hAnsi="Times New Roman"/>
          <w:sz w:val="24"/>
          <w:szCs w:val="24"/>
        </w:rPr>
        <w:t>. В плановом периоде 202</w:t>
      </w:r>
      <w:r w:rsidR="006873D8">
        <w:rPr>
          <w:rFonts w:ascii="Times New Roman" w:hAnsi="Times New Roman"/>
          <w:sz w:val="24"/>
          <w:szCs w:val="24"/>
        </w:rPr>
        <w:t>5</w:t>
      </w:r>
      <w:r>
        <w:rPr>
          <w:rFonts w:ascii="Times New Roman" w:hAnsi="Times New Roman"/>
          <w:sz w:val="24"/>
          <w:szCs w:val="24"/>
        </w:rPr>
        <w:t xml:space="preserve"> года расходная часть составит </w:t>
      </w:r>
      <w:r w:rsidR="006873D8">
        <w:rPr>
          <w:rFonts w:ascii="Times New Roman" w:hAnsi="Times New Roman"/>
          <w:sz w:val="24"/>
          <w:szCs w:val="24"/>
        </w:rPr>
        <w:t>92,85</w:t>
      </w:r>
      <w:r>
        <w:rPr>
          <w:rFonts w:ascii="Times New Roman" w:hAnsi="Times New Roman"/>
          <w:sz w:val="24"/>
          <w:szCs w:val="24"/>
        </w:rPr>
        <w:t xml:space="preserve">%  </w:t>
      </w:r>
      <w:r w:rsidR="006873D8">
        <w:rPr>
          <w:rFonts w:ascii="Times New Roman" w:hAnsi="Times New Roman"/>
          <w:sz w:val="24"/>
          <w:szCs w:val="24"/>
        </w:rPr>
        <w:t>от уровня 2024</w:t>
      </w:r>
      <w:r>
        <w:rPr>
          <w:rFonts w:ascii="Times New Roman" w:hAnsi="Times New Roman"/>
          <w:sz w:val="24"/>
          <w:szCs w:val="24"/>
        </w:rPr>
        <w:t xml:space="preserve"> года, в 202</w:t>
      </w:r>
      <w:r w:rsidR="006873D8">
        <w:rPr>
          <w:rFonts w:ascii="Times New Roman" w:hAnsi="Times New Roman"/>
          <w:sz w:val="24"/>
          <w:szCs w:val="24"/>
        </w:rPr>
        <w:t>6</w:t>
      </w:r>
      <w:r>
        <w:rPr>
          <w:rFonts w:ascii="Times New Roman" w:hAnsi="Times New Roman"/>
          <w:sz w:val="24"/>
          <w:szCs w:val="24"/>
        </w:rPr>
        <w:t xml:space="preserve"> году превысит расходы 202</w:t>
      </w:r>
      <w:r w:rsidR="006873D8">
        <w:rPr>
          <w:rFonts w:ascii="Times New Roman" w:hAnsi="Times New Roman"/>
          <w:sz w:val="24"/>
          <w:szCs w:val="24"/>
        </w:rPr>
        <w:t>5</w:t>
      </w:r>
      <w:r>
        <w:rPr>
          <w:rFonts w:ascii="Times New Roman" w:hAnsi="Times New Roman"/>
          <w:sz w:val="24"/>
          <w:szCs w:val="24"/>
        </w:rPr>
        <w:t xml:space="preserve"> года на </w:t>
      </w:r>
      <w:r w:rsidR="006873D8">
        <w:rPr>
          <w:rFonts w:ascii="Times New Roman" w:hAnsi="Times New Roman"/>
          <w:sz w:val="24"/>
          <w:szCs w:val="24"/>
        </w:rPr>
        <w:t>6,95</w:t>
      </w:r>
      <w:r>
        <w:rPr>
          <w:rFonts w:ascii="Times New Roman" w:hAnsi="Times New Roman"/>
          <w:sz w:val="24"/>
          <w:szCs w:val="24"/>
        </w:rPr>
        <w:t>%.</w:t>
      </w:r>
    </w:p>
    <w:p w:rsidR="00D77600" w:rsidRDefault="009D4E5A">
      <w:pPr>
        <w:pStyle w:val="ae"/>
        <w:spacing w:after="0" w:line="240" w:lineRule="auto"/>
        <w:ind w:left="0" w:firstLine="709"/>
        <w:jc w:val="center"/>
        <w:rPr>
          <w:rFonts w:ascii="Times New Roman" w:hAnsi="Times New Roman"/>
          <w:b/>
          <w:sz w:val="24"/>
          <w:szCs w:val="24"/>
        </w:rPr>
      </w:pPr>
      <w:r>
        <w:rPr>
          <w:rFonts w:ascii="Times New Roman" w:hAnsi="Times New Roman"/>
          <w:b/>
          <w:sz w:val="24"/>
          <w:szCs w:val="24"/>
        </w:rPr>
        <w:t>3.1. Доходы бюджета.</w:t>
      </w:r>
    </w:p>
    <w:p w:rsidR="00D77600" w:rsidRDefault="009D4E5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налоговых и неналоговых доходов местного бюджета осуществлялось на основе прогноза социально-экономического развития Вольновского</w:t>
      </w:r>
      <w:r w:rsidR="0010168E">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Полтавского муниципального района, основных направлений бюджетной и  налоговой политики, налогового и бюджетного законодательства, действовавшего на момент составления проекта бюджета и ожидаемой оценки поступлений по налоговым и неналоговым доходам в бюджет за 202</w:t>
      </w:r>
      <w:r w:rsidR="0010168E">
        <w:rPr>
          <w:rFonts w:ascii="Times New Roman" w:hAnsi="Times New Roman" w:cs="Times New Roman"/>
          <w:sz w:val="24"/>
          <w:szCs w:val="24"/>
        </w:rPr>
        <w:t>3</w:t>
      </w:r>
      <w:r>
        <w:rPr>
          <w:rFonts w:ascii="Times New Roman" w:hAnsi="Times New Roman" w:cs="Times New Roman"/>
          <w:sz w:val="24"/>
          <w:szCs w:val="24"/>
        </w:rPr>
        <w:t xml:space="preserve"> г.</w:t>
      </w:r>
    </w:p>
    <w:p w:rsidR="00D77600" w:rsidRDefault="009D4E5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Предусмотренные проектом решения виды налоговых и неналоговых доходов местного бюджета соответствуют перечню, установленному БК РФ. </w:t>
      </w:r>
      <w:bookmarkStart w:id="11" w:name="OLE_LINK4"/>
      <w:bookmarkStart w:id="12" w:name="OLE_LINK5"/>
      <w:bookmarkEnd w:id="11"/>
      <w:bookmarkEnd w:id="12"/>
    </w:p>
    <w:p w:rsidR="00D77600" w:rsidRDefault="009D4E5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160.1 БК РФ прогноз налогов</w:t>
      </w:r>
      <w:r w:rsidR="0010168E">
        <w:rPr>
          <w:rFonts w:ascii="Times New Roman" w:hAnsi="Times New Roman" w:cs="Times New Roman"/>
          <w:sz w:val="24"/>
          <w:szCs w:val="24"/>
        </w:rPr>
        <w:t>ых и неналоговых доходов на 2024</w:t>
      </w:r>
      <w:r>
        <w:rPr>
          <w:rFonts w:ascii="Times New Roman" w:hAnsi="Times New Roman" w:cs="Times New Roman"/>
          <w:sz w:val="24"/>
          <w:szCs w:val="24"/>
        </w:rPr>
        <w:t xml:space="preserve"> год и на плановый период 202</w:t>
      </w:r>
      <w:r w:rsidR="0010168E">
        <w:rPr>
          <w:rFonts w:ascii="Times New Roman" w:hAnsi="Times New Roman" w:cs="Times New Roman"/>
          <w:sz w:val="24"/>
          <w:szCs w:val="24"/>
        </w:rPr>
        <w:t>5</w:t>
      </w:r>
      <w:r>
        <w:rPr>
          <w:rFonts w:ascii="Times New Roman" w:hAnsi="Times New Roman" w:cs="Times New Roman"/>
          <w:sz w:val="24"/>
          <w:szCs w:val="24"/>
        </w:rPr>
        <w:t xml:space="preserve"> и 202</w:t>
      </w:r>
      <w:r w:rsidR="0010168E">
        <w:rPr>
          <w:rFonts w:ascii="Times New Roman" w:hAnsi="Times New Roman" w:cs="Times New Roman"/>
          <w:sz w:val="24"/>
          <w:szCs w:val="24"/>
        </w:rPr>
        <w:t>6</w:t>
      </w:r>
      <w:r>
        <w:rPr>
          <w:rFonts w:ascii="Times New Roman" w:hAnsi="Times New Roman" w:cs="Times New Roman"/>
          <w:sz w:val="24"/>
          <w:szCs w:val="24"/>
        </w:rPr>
        <w:t xml:space="preserve"> годов сформирован в объемах, спрогнозированных главными администраторами доходов местного бюджета по утвержденным им методикам.</w:t>
      </w:r>
    </w:p>
    <w:p w:rsidR="00E036E4" w:rsidRDefault="00E036E4" w:rsidP="00E036E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доходов представлена в следующей таблице</w:t>
      </w:r>
    </w:p>
    <w:tbl>
      <w:tblPr>
        <w:tblStyle w:val="af3"/>
        <w:tblW w:w="9747" w:type="dxa"/>
        <w:tblLayout w:type="fixed"/>
        <w:tblLook w:val="04A0"/>
      </w:tblPr>
      <w:tblGrid>
        <w:gridCol w:w="1101"/>
        <w:gridCol w:w="992"/>
        <w:gridCol w:w="992"/>
        <w:gridCol w:w="992"/>
        <w:gridCol w:w="567"/>
        <w:gridCol w:w="567"/>
        <w:gridCol w:w="567"/>
        <w:gridCol w:w="851"/>
        <w:gridCol w:w="567"/>
        <w:gridCol w:w="567"/>
        <w:gridCol w:w="850"/>
        <w:gridCol w:w="567"/>
        <w:gridCol w:w="567"/>
      </w:tblGrid>
      <w:tr w:rsidR="00E036E4" w:rsidRPr="0096495B" w:rsidTr="00FC657E">
        <w:tc>
          <w:tcPr>
            <w:tcW w:w="1101" w:type="dxa"/>
            <w:vMerge w:val="restart"/>
          </w:tcPr>
          <w:p w:rsidR="00E036E4" w:rsidRPr="001650F3" w:rsidRDefault="00E036E4" w:rsidP="009D4E5A">
            <w:pPr>
              <w:pStyle w:val="Default"/>
              <w:jc w:val="center"/>
              <w:rPr>
                <w:sz w:val="16"/>
                <w:szCs w:val="16"/>
                <w:vertAlign w:val="superscript"/>
              </w:rPr>
            </w:pPr>
            <w:r w:rsidRPr="001650F3">
              <w:rPr>
                <w:sz w:val="16"/>
                <w:szCs w:val="16"/>
                <w:vertAlign w:val="superscript"/>
              </w:rPr>
              <w:t xml:space="preserve">Наименование </w:t>
            </w:r>
            <w:r>
              <w:rPr>
                <w:sz w:val="16"/>
                <w:szCs w:val="16"/>
                <w:vertAlign w:val="superscript"/>
              </w:rPr>
              <w:t xml:space="preserve"> показателя</w:t>
            </w:r>
          </w:p>
        </w:tc>
        <w:tc>
          <w:tcPr>
            <w:tcW w:w="1984" w:type="dxa"/>
            <w:gridSpan w:val="2"/>
          </w:tcPr>
          <w:p w:rsidR="00E036E4" w:rsidRPr="0096495B" w:rsidRDefault="00E036E4" w:rsidP="009D4E5A">
            <w:pPr>
              <w:pStyle w:val="Default"/>
              <w:jc w:val="center"/>
              <w:rPr>
                <w:sz w:val="16"/>
                <w:szCs w:val="16"/>
                <w:vertAlign w:val="superscript"/>
              </w:rPr>
            </w:pPr>
            <w:r>
              <w:rPr>
                <w:sz w:val="16"/>
                <w:szCs w:val="16"/>
                <w:vertAlign w:val="superscript"/>
              </w:rPr>
              <w:t>Утверждено на 2023 год</w:t>
            </w:r>
          </w:p>
        </w:tc>
        <w:tc>
          <w:tcPr>
            <w:tcW w:w="6662" w:type="dxa"/>
            <w:gridSpan w:val="10"/>
          </w:tcPr>
          <w:p w:rsidR="00E036E4" w:rsidRPr="0096495B" w:rsidRDefault="00E036E4" w:rsidP="009D4E5A">
            <w:pPr>
              <w:pStyle w:val="Default"/>
              <w:jc w:val="center"/>
              <w:rPr>
                <w:sz w:val="16"/>
                <w:szCs w:val="16"/>
                <w:vertAlign w:val="superscript"/>
              </w:rPr>
            </w:pPr>
            <w:r>
              <w:rPr>
                <w:sz w:val="16"/>
                <w:szCs w:val="16"/>
                <w:vertAlign w:val="superscript"/>
              </w:rPr>
              <w:t>Предусмотрено проектом решения</w:t>
            </w:r>
          </w:p>
        </w:tc>
      </w:tr>
      <w:tr w:rsidR="00E036E4" w:rsidRPr="0096495B" w:rsidTr="00FC657E">
        <w:tc>
          <w:tcPr>
            <w:tcW w:w="1101" w:type="dxa"/>
            <w:vMerge/>
          </w:tcPr>
          <w:p w:rsidR="00E036E4" w:rsidRPr="001650F3" w:rsidRDefault="00E036E4" w:rsidP="009D4E5A">
            <w:pPr>
              <w:pStyle w:val="Default"/>
              <w:jc w:val="center"/>
              <w:rPr>
                <w:sz w:val="16"/>
                <w:szCs w:val="16"/>
                <w:vertAlign w:val="superscript"/>
              </w:rPr>
            </w:pPr>
          </w:p>
        </w:tc>
        <w:tc>
          <w:tcPr>
            <w:tcW w:w="992" w:type="dxa"/>
            <w:vMerge w:val="restart"/>
          </w:tcPr>
          <w:p w:rsidR="00E036E4" w:rsidRPr="0096495B" w:rsidRDefault="00E036E4" w:rsidP="009D4E5A">
            <w:pPr>
              <w:pStyle w:val="Default"/>
              <w:jc w:val="center"/>
              <w:rPr>
                <w:sz w:val="16"/>
                <w:szCs w:val="16"/>
                <w:vertAlign w:val="superscript"/>
              </w:rPr>
            </w:pPr>
            <w:r>
              <w:rPr>
                <w:sz w:val="16"/>
                <w:szCs w:val="16"/>
                <w:vertAlign w:val="superscript"/>
              </w:rPr>
              <w:t>первоначальная редакция, рублей</w:t>
            </w:r>
          </w:p>
        </w:tc>
        <w:tc>
          <w:tcPr>
            <w:tcW w:w="992" w:type="dxa"/>
            <w:vMerge w:val="restart"/>
          </w:tcPr>
          <w:p w:rsidR="00E036E4" w:rsidRPr="0096495B" w:rsidRDefault="00E036E4" w:rsidP="009D4E5A">
            <w:pPr>
              <w:pStyle w:val="Default"/>
              <w:jc w:val="center"/>
              <w:rPr>
                <w:sz w:val="16"/>
                <w:szCs w:val="16"/>
                <w:vertAlign w:val="superscript"/>
              </w:rPr>
            </w:pPr>
            <w:r>
              <w:rPr>
                <w:sz w:val="16"/>
                <w:szCs w:val="16"/>
                <w:vertAlign w:val="superscript"/>
              </w:rPr>
              <w:t>с учетом изменений (ред. от 26.09.2023г) рублей</w:t>
            </w:r>
          </w:p>
        </w:tc>
        <w:tc>
          <w:tcPr>
            <w:tcW w:w="2693" w:type="dxa"/>
            <w:gridSpan w:val="4"/>
          </w:tcPr>
          <w:p w:rsidR="00E036E4" w:rsidRPr="0096495B" w:rsidRDefault="00E036E4" w:rsidP="009D4E5A">
            <w:pPr>
              <w:pStyle w:val="Default"/>
              <w:jc w:val="center"/>
              <w:rPr>
                <w:sz w:val="16"/>
                <w:szCs w:val="16"/>
                <w:vertAlign w:val="superscript"/>
              </w:rPr>
            </w:pPr>
            <w:r>
              <w:rPr>
                <w:sz w:val="16"/>
                <w:szCs w:val="16"/>
                <w:vertAlign w:val="superscript"/>
              </w:rPr>
              <w:t>на 2024 год</w:t>
            </w:r>
          </w:p>
        </w:tc>
        <w:tc>
          <w:tcPr>
            <w:tcW w:w="1985" w:type="dxa"/>
            <w:gridSpan w:val="3"/>
          </w:tcPr>
          <w:p w:rsidR="00E036E4" w:rsidRPr="0096495B" w:rsidRDefault="00E036E4" w:rsidP="009D4E5A">
            <w:pPr>
              <w:pStyle w:val="Default"/>
              <w:jc w:val="center"/>
              <w:rPr>
                <w:sz w:val="16"/>
                <w:szCs w:val="16"/>
                <w:vertAlign w:val="superscript"/>
              </w:rPr>
            </w:pPr>
            <w:r>
              <w:rPr>
                <w:sz w:val="16"/>
                <w:szCs w:val="16"/>
                <w:vertAlign w:val="superscript"/>
              </w:rPr>
              <w:t>на 2025 год</w:t>
            </w:r>
          </w:p>
        </w:tc>
        <w:tc>
          <w:tcPr>
            <w:tcW w:w="1984" w:type="dxa"/>
            <w:gridSpan w:val="3"/>
          </w:tcPr>
          <w:p w:rsidR="00E036E4" w:rsidRPr="0096495B" w:rsidRDefault="00E036E4" w:rsidP="009D4E5A">
            <w:pPr>
              <w:pStyle w:val="Default"/>
              <w:jc w:val="center"/>
              <w:rPr>
                <w:sz w:val="16"/>
                <w:szCs w:val="16"/>
                <w:vertAlign w:val="superscript"/>
              </w:rPr>
            </w:pPr>
            <w:r>
              <w:rPr>
                <w:sz w:val="16"/>
                <w:szCs w:val="16"/>
                <w:vertAlign w:val="superscript"/>
              </w:rPr>
              <w:t>на 2026 год</w:t>
            </w:r>
          </w:p>
        </w:tc>
      </w:tr>
      <w:tr w:rsidR="00E036E4" w:rsidRPr="0096495B" w:rsidTr="00FC657E">
        <w:trPr>
          <w:trHeight w:val="746"/>
        </w:trPr>
        <w:tc>
          <w:tcPr>
            <w:tcW w:w="1101" w:type="dxa"/>
            <w:vMerge/>
          </w:tcPr>
          <w:p w:rsidR="00E036E4" w:rsidRPr="001650F3" w:rsidRDefault="00E036E4" w:rsidP="009D4E5A">
            <w:pPr>
              <w:pStyle w:val="Default"/>
              <w:jc w:val="center"/>
              <w:rPr>
                <w:sz w:val="16"/>
                <w:szCs w:val="16"/>
                <w:vertAlign w:val="superscript"/>
              </w:rPr>
            </w:pPr>
          </w:p>
        </w:tc>
        <w:tc>
          <w:tcPr>
            <w:tcW w:w="992" w:type="dxa"/>
            <w:vMerge/>
          </w:tcPr>
          <w:p w:rsidR="00E036E4" w:rsidRDefault="00E036E4" w:rsidP="009D4E5A">
            <w:pPr>
              <w:pStyle w:val="Default"/>
              <w:jc w:val="center"/>
              <w:rPr>
                <w:sz w:val="16"/>
                <w:szCs w:val="16"/>
                <w:vertAlign w:val="superscript"/>
              </w:rPr>
            </w:pPr>
          </w:p>
        </w:tc>
        <w:tc>
          <w:tcPr>
            <w:tcW w:w="992" w:type="dxa"/>
            <w:vMerge/>
          </w:tcPr>
          <w:p w:rsidR="00E036E4" w:rsidRDefault="00E036E4" w:rsidP="009D4E5A">
            <w:pPr>
              <w:pStyle w:val="Default"/>
              <w:jc w:val="center"/>
              <w:rPr>
                <w:sz w:val="16"/>
                <w:szCs w:val="16"/>
                <w:vertAlign w:val="superscript"/>
              </w:rPr>
            </w:pPr>
          </w:p>
        </w:tc>
        <w:tc>
          <w:tcPr>
            <w:tcW w:w="992" w:type="dxa"/>
          </w:tcPr>
          <w:p w:rsidR="00E036E4" w:rsidRPr="0096495B" w:rsidRDefault="00E036E4" w:rsidP="009D4E5A">
            <w:pPr>
              <w:pStyle w:val="Default"/>
              <w:jc w:val="center"/>
              <w:rPr>
                <w:sz w:val="16"/>
                <w:szCs w:val="16"/>
                <w:vertAlign w:val="superscript"/>
              </w:rPr>
            </w:pPr>
            <w:r>
              <w:rPr>
                <w:sz w:val="16"/>
                <w:szCs w:val="16"/>
                <w:vertAlign w:val="superscript"/>
              </w:rPr>
              <w:t>рублей</w:t>
            </w:r>
          </w:p>
        </w:tc>
        <w:tc>
          <w:tcPr>
            <w:tcW w:w="567" w:type="dxa"/>
          </w:tcPr>
          <w:p w:rsidR="00E036E4" w:rsidRPr="0096495B" w:rsidRDefault="00E036E4" w:rsidP="009D4E5A">
            <w:pPr>
              <w:pStyle w:val="Default"/>
              <w:jc w:val="center"/>
              <w:rPr>
                <w:sz w:val="16"/>
                <w:szCs w:val="16"/>
                <w:vertAlign w:val="superscript"/>
              </w:rPr>
            </w:pPr>
            <w:r>
              <w:rPr>
                <w:sz w:val="16"/>
                <w:szCs w:val="16"/>
                <w:vertAlign w:val="superscript"/>
              </w:rPr>
              <w:t>отношение к 2023 году, % к первоначальной редакции</w:t>
            </w:r>
          </w:p>
        </w:tc>
        <w:tc>
          <w:tcPr>
            <w:tcW w:w="567" w:type="dxa"/>
          </w:tcPr>
          <w:p w:rsidR="00E036E4" w:rsidRPr="0096495B" w:rsidRDefault="00E036E4" w:rsidP="009D4E5A">
            <w:pPr>
              <w:pStyle w:val="Default"/>
              <w:jc w:val="center"/>
              <w:rPr>
                <w:sz w:val="16"/>
                <w:szCs w:val="16"/>
                <w:vertAlign w:val="superscript"/>
              </w:rPr>
            </w:pPr>
            <w:r>
              <w:rPr>
                <w:sz w:val="16"/>
                <w:szCs w:val="16"/>
                <w:vertAlign w:val="superscript"/>
              </w:rPr>
              <w:t>отношение к 2023 году, %с учетом изменений</w:t>
            </w:r>
          </w:p>
        </w:tc>
        <w:tc>
          <w:tcPr>
            <w:tcW w:w="567" w:type="dxa"/>
          </w:tcPr>
          <w:p w:rsidR="00E036E4" w:rsidRPr="0096495B" w:rsidRDefault="00E036E4" w:rsidP="009D4E5A">
            <w:pPr>
              <w:pStyle w:val="Default"/>
              <w:jc w:val="center"/>
              <w:rPr>
                <w:sz w:val="16"/>
                <w:szCs w:val="16"/>
                <w:vertAlign w:val="superscript"/>
              </w:rPr>
            </w:pPr>
            <w:r>
              <w:rPr>
                <w:sz w:val="16"/>
                <w:szCs w:val="16"/>
                <w:vertAlign w:val="superscript"/>
              </w:rPr>
              <w:t>удельный вес, %</w:t>
            </w:r>
          </w:p>
        </w:tc>
        <w:tc>
          <w:tcPr>
            <w:tcW w:w="851" w:type="dxa"/>
          </w:tcPr>
          <w:p w:rsidR="00E036E4" w:rsidRPr="0096495B" w:rsidRDefault="00E036E4" w:rsidP="009D4E5A">
            <w:pPr>
              <w:pStyle w:val="Default"/>
              <w:jc w:val="center"/>
              <w:rPr>
                <w:sz w:val="16"/>
                <w:szCs w:val="16"/>
                <w:vertAlign w:val="superscript"/>
              </w:rPr>
            </w:pPr>
            <w:r>
              <w:rPr>
                <w:sz w:val="16"/>
                <w:szCs w:val="16"/>
                <w:vertAlign w:val="superscript"/>
              </w:rPr>
              <w:t>рублей</w:t>
            </w:r>
          </w:p>
        </w:tc>
        <w:tc>
          <w:tcPr>
            <w:tcW w:w="567" w:type="dxa"/>
          </w:tcPr>
          <w:p w:rsidR="00E036E4" w:rsidRPr="0096495B" w:rsidRDefault="00E036E4" w:rsidP="009D4E5A">
            <w:pPr>
              <w:pStyle w:val="Default"/>
              <w:jc w:val="center"/>
              <w:rPr>
                <w:sz w:val="16"/>
                <w:szCs w:val="16"/>
                <w:vertAlign w:val="superscript"/>
              </w:rPr>
            </w:pPr>
            <w:r>
              <w:rPr>
                <w:sz w:val="16"/>
                <w:szCs w:val="16"/>
                <w:vertAlign w:val="superscript"/>
              </w:rPr>
              <w:t>отношение к 2024 году, %</w:t>
            </w:r>
          </w:p>
        </w:tc>
        <w:tc>
          <w:tcPr>
            <w:tcW w:w="567" w:type="dxa"/>
          </w:tcPr>
          <w:p w:rsidR="00E036E4" w:rsidRPr="0096495B" w:rsidRDefault="00E036E4" w:rsidP="009D4E5A">
            <w:pPr>
              <w:pStyle w:val="Default"/>
              <w:jc w:val="center"/>
              <w:rPr>
                <w:sz w:val="16"/>
                <w:szCs w:val="16"/>
                <w:vertAlign w:val="superscript"/>
              </w:rPr>
            </w:pPr>
            <w:r>
              <w:rPr>
                <w:sz w:val="16"/>
                <w:szCs w:val="16"/>
                <w:vertAlign w:val="superscript"/>
              </w:rPr>
              <w:t>удельный вес, %</w:t>
            </w:r>
          </w:p>
        </w:tc>
        <w:tc>
          <w:tcPr>
            <w:tcW w:w="850" w:type="dxa"/>
          </w:tcPr>
          <w:p w:rsidR="00E036E4" w:rsidRPr="0096495B" w:rsidRDefault="00E036E4" w:rsidP="009D4E5A">
            <w:pPr>
              <w:pStyle w:val="Default"/>
              <w:jc w:val="center"/>
              <w:rPr>
                <w:sz w:val="16"/>
                <w:szCs w:val="16"/>
                <w:vertAlign w:val="superscript"/>
              </w:rPr>
            </w:pPr>
            <w:r>
              <w:rPr>
                <w:sz w:val="16"/>
                <w:szCs w:val="16"/>
                <w:vertAlign w:val="superscript"/>
              </w:rPr>
              <w:t>рублей</w:t>
            </w:r>
          </w:p>
        </w:tc>
        <w:tc>
          <w:tcPr>
            <w:tcW w:w="567" w:type="dxa"/>
          </w:tcPr>
          <w:p w:rsidR="00E036E4" w:rsidRPr="0096495B" w:rsidRDefault="00E036E4" w:rsidP="009D4E5A">
            <w:pPr>
              <w:pStyle w:val="Default"/>
              <w:jc w:val="center"/>
              <w:rPr>
                <w:sz w:val="16"/>
                <w:szCs w:val="16"/>
                <w:vertAlign w:val="superscript"/>
              </w:rPr>
            </w:pPr>
            <w:r>
              <w:rPr>
                <w:sz w:val="16"/>
                <w:szCs w:val="16"/>
                <w:vertAlign w:val="superscript"/>
              </w:rPr>
              <w:t>отношение к 2025 году, %</w:t>
            </w:r>
          </w:p>
        </w:tc>
        <w:tc>
          <w:tcPr>
            <w:tcW w:w="567" w:type="dxa"/>
          </w:tcPr>
          <w:p w:rsidR="00E036E4" w:rsidRPr="0096495B" w:rsidRDefault="00E036E4" w:rsidP="009D4E5A">
            <w:pPr>
              <w:pStyle w:val="Default"/>
              <w:jc w:val="center"/>
              <w:rPr>
                <w:sz w:val="16"/>
                <w:szCs w:val="16"/>
                <w:vertAlign w:val="superscript"/>
              </w:rPr>
            </w:pPr>
            <w:r>
              <w:rPr>
                <w:sz w:val="16"/>
                <w:szCs w:val="16"/>
                <w:vertAlign w:val="superscript"/>
              </w:rPr>
              <w:t>удельный вес, %</w:t>
            </w:r>
          </w:p>
        </w:tc>
      </w:tr>
      <w:tr w:rsidR="002670F4" w:rsidRPr="009B7F55" w:rsidTr="00FC657E">
        <w:trPr>
          <w:trHeight w:val="746"/>
        </w:trPr>
        <w:tc>
          <w:tcPr>
            <w:tcW w:w="1101" w:type="dxa"/>
          </w:tcPr>
          <w:p w:rsidR="002670F4" w:rsidRPr="001650F3" w:rsidRDefault="002670F4" w:rsidP="009D4E5A">
            <w:pPr>
              <w:pStyle w:val="Default"/>
              <w:jc w:val="center"/>
              <w:rPr>
                <w:sz w:val="16"/>
                <w:szCs w:val="16"/>
                <w:vertAlign w:val="superscript"/>
              </w:rPr>
            </w:pPr>
            <w:r>
              <w:rPr>
                <w:b/>
                <w:sz w:val="20"/>
                <w:vertAlign w:val="subscript"/>
              </w:rPr>
              <w:t>Налоговые и неналоговые доходы, в т.ч.</w:t>
            </w:r>
          </w:p>
        </w:tc>
        <w:tc>
          <w:tcPr>
            <w:tcW w:w="992" w:type="dxa"/>
          </w:tcPr>
          <w:p w:rsidR="002670F4" w:rsidRDefault="002670F4" w:rsidP="009D4E5A">
            <w:pPr>
              <w:widowControl w:val="0"/>
              <w:spacing w:after="0" w:line="240" w:lineRule="auto"/>
              <w:jc w:val="center"/>
              <w:rPr>
                <w:rFonts w:ascii="Times New Roman" w:hAnsi="Times New Roman" w:cs="Times New Roman"/>
                <w:b/>
                <w:vertAlign w:val="superscript"/>
              </w:rPr>
            </w:pPr>
            <w:r>
              <w:rPr>
                <w:rFonts w:ascii="Times New Roman" w:hAnsi="Times New Roman" w:cs="Times New Roman"/>
                <w:b/>
                <w:vertAlign w:val="superscript"/>
              </w:rPr>
              <w:t>4 134 430,00</w:t>
            </w:r>
          </w:p>
        </w:tc>
        <w:tc>
          <w:tcPr>
            <w:tcW w:w="992" w:type="dxa"/>
          </w:tcPr>
          <w:p w:rsidR="002670F4" w:rsidRPr="002263FA" w:rsidRDefault="003A5A5A" w:rsidP="009D4E5A">
            <w:pPr>
              <w:pStyle w:val="Default"/>
              <w:jc w:val="center"/>
              <w:rPr>
                <w:b/>
                <w:sz w:val="18"/>
                <w:szCs w:val="18"/>
                <w:vertAlign w:val="superscript"/>
              </w:rPr>
            </w:pPr>
            <w:r>
              <w:rPr>
                <w:b/>
                <w:sz w:val="18"/>
                <w:szCs w:val="18"/>
                <w:vertAlign w:val="superscript"/>
              </w:rPr>
              <w:t>4 144 157,68</w:t>
            </w:r>
          </w:p>
        </w:tc>
        <w:tc>
          <w:tcPr>
            <w:tcW w:w="992" w:type="dxa"/>
          </w:tcPr>
          <w:p w:rsidR="002670F4" w:rsidRPr="001417F7" w:rsidRDefault="00592FA8" w:rsidP="009D4E5A">
            <w:pPr>
              <w:pStyle w:val="Default"/>
              <w:jc w:val="center"/>
              <w:rPr>
                <w:b/>
                <w:sz w:val="18"/>
                <w:szCs w:val="18"/>
                <w:vertAlign w:val="superscript"/>
              </w:rPr>
            </w:pPr>
            <w:r>
              <w:rPr>
                <w:b/>
                <w:sz w:val="18"/>
                <w:szCs w:val="18"/>
                <w:vertAlign w:val="superscript"/>
              </w:rPr>
              <w:t>5 656 582,00</w:t>
            </w:r>
          </w:p>
        </w:tc>
        <w:tc>
          <w:tcPr>
            <w:tcW w:w="567" w:type="dxa"/>
          </w:tcPr>
          <w:p w:rsidR="002670F4" w:rsidRPr="001417F7" w:rsidRDefault="00603648" w:rsidP="009D4E5A">
            <w:pPr>
              <w:pStyle w:val="Default"/>
              <w:jc w:val="center"/>
              <w:rPr>
                <w:b/>
                <w:sz w:val="18"/>
                <w:szCs w:val="18"/>
                <w:vertAlign w:val="superscript"/>
              </w:rPr>
            </w:pPr>
            <w:r>
              <w:rPr>
                <w:b/>
                <w:sz w:val="18"/>
                <w:szCs w:val="18"/>
                <w:vertAlign w:val="superscript"/>
              </w:rPr>
              <w:t>136,82</w:t>
            </w:r>
          </w:p>
        </w:tc>
        <w:tc>
          <w:tcPr>
            <w:tcW w:w="567" w:type="dxa"/>
          </w:tcPr>
          <w:p w:rsidR="002670F4" w:rsidRPr="001417F7" w:rsidRDefault="00603648" w:rsidP="009D4E5A">
            <w:pPr>
              <w:pStyle w:val="Default"/>
              <w:jc w:val="center"/>
              <w:rPr>
                <w:b/>
                <w:sz w:val="18"/>
                <w:szCs w:val="18"/>
                <w:vertAlign w:val="superscript"/>
              </w:rPr>
            </w:pPr>
            <w:r>
              <w:rPr>
                <w:b/>
                <w:sz w:val="18"/>
                <w:szCs w:val="18"/>
                <w:vertAlign w:val="superscript"/>
              </w:rPr>
              <w:t>136,50</w:t>
            </w:r>
          </w:p>
        </w:tc>
        <w:tc>
          <w:tcPr>
            <w:tcW w:w="567" w:type="dxa"/>
          </w:tcPr>
          <w:p w:rsidR="002670F4" w:rsidRPr="001417F7" w:rsidRDefault="000763F7" w:rsidP="009D4E5A">
            <w:pPr>
              <w:pStyle w:val="Default"/>
              <w:rPr>
                <w:b/>
                <w:sz w:val="18"/>
                <w:szCs w:val="18"/>
                <w:vertAlign w:val="superscript"/>
              </w:rPr>
            </w:pPr>
            <w:r>
              <w:rPr>
                <w:b/>
                <w:sz w:val="18"/>
                <w:szCs w:val="18"/>
                <w:vertAlign w:val="superscript"/>
              </w:rPr>
              <w:t>56,17</w:t>
            </w:r>
          </w:p>
        </w:tc>
        <w:tc>
          <w:tcPr>
            <w:tcW w:w="851" w:type="dxa"/>
          </w:tcPr>
          <w:p w:rsidR="002670F4" w:rsidRPr="001417F7" w:rsidRDefault="00592FA8" w:rsidP="009D4E5A">
            <w:pPr>
              <w:pStyle w:val="Default"/>
              <w:jc w:val="center"/>
              <w:rPr>
                <w:b/>
                <w:sz w:val="18"/>
                <w:szCs w:val="18"/>
                <w:vertAlign w:val="superscript"/>
              </w:rPr>
            </w:pPr>
            <w:r>
              <w:rPr>
                <w:b/>
                <w:sz w:val="18"/>
                <w:szCs w:val="18"/>
                <w:vertAlign w:val="superscript"/>
              </w:rPr>
              <w:t>5 713 195,00</w:t>
            </w:r>
          </w:p>
        </w:tc>
        <w:tc>
          <w:tcPr>
            <w:tcW w:w="567" w:type="dxa"/>
          </w:tcPr>
          <w:p w:rsidR="002670F4" w:rsidRPr="001417F7" w:rsidRDefault="009D4E5A" w:rsidP="009D4E5A">
            <w:pPr>
              <w:pStyle w:val="Default"/>
              <w:jc w:val="center"/>
              <w:rPr>
                <w:b/>
                <w:sz w:val="18"/>
                <w:szCs w:val="18"/>
                <w:vertAlign w:val="superscript"/>
              </w:rPr>
            </w:pPr>
            <w:r>
              <w:rPr>
                <w:b/>
                <w:sz w:val="18"/>
                <w:szCs w:val="18"/>
                <w:vertAlign w:val="superscript"/>
              </w:rPr>
              <w:t>101,00</w:t>
            </w:r>
          </w:p>
        </w:tc>
        <w:tc>
          <w:tcPr>
            <w:tcW w:w="567" w:type="dxa"/>
          </w:tcPr>
          <w:p w:rsidR="002670F4" w:rsidRPr="001417F7" w:rsidRDefault="009D4E5A" w:rsidP="009D4E5A">
            <w:pPr>
              <w:pStyle w:val="Default"/>
              <w:jc w:val="center"/>
              <w:rPr>
                <w:b/>
                <w:sz w:val="18"/>
                <w:szCs w:val="18"/>
                <w:vertAlign w:val="superscript"/>
              </w:rPr>
            </w:pPr>
            <w:r>
              <w:rPr>
                <w:b/>
                <w:sz w:val="18"/>
                <w:szCs w:val="18"/>
                <w:vertAlign w:val="superscript"/>
              </w:rPr>
              <w:t>61,10</w:t>
            </w:r>
          </w:p>
        </w:tc>
        <w:tc>
          <w:tcPr>
            <w:tcW w:w="850" w:type="dxa"/>
          </w:tcPr>
          <w:p w:rsidR="002670F4" w:rsidRPr="001417F7" w:rsidRDefault="00592FA8" w:rsidP="009D4E5A">
            <w:pPr>
              <w:pStyle w:val="Default"/>
              <w:jc w:val="center"/>
              <w:rPr>
                <w:b/>
                <w:sz w:val="18"/>
                <w:szCs w:val="18"/>
                <w:vertAlign w:val="superscript"/>
              </w:rPr>
            </w:pPr>
            <w:r>
              <w:rPr>
                <w:b/>
                <w:sz w:val="18"/>
                <w:szCs w:val="18"/>
                <w:vertAlign w:val="superscript"/>
              </w:rPr>
              <w:t>6 343 619,00</w:t>
            </w:r>
          </w:p>
        </w:tc>
        <w:tc>
          <w:tcPr>
            <w:tcW w:w="567" w:type="dxa"/>
          </w:tcPr>
          <w:p w:rsidR="002670F4" w:rsidRPr="001417F7" w:rsidRDefault="009D4E5A" w:rsidP="009D4E5A">
            <w:pPr>
              <w:pStyle w:val="Default"/>
              <w:jc w:val="center"/>
              <w:rPr>
                <w:b/>
                <w:sz w:val="18"/>
                <w:szCs w:val="18"/>
                <w:vertAlign w:val="superscript"/>
              </w:rPr>
            </w:pPr>
            <w:r>
              <w:rPr>
                <w:b/>
                <w:sz w:val="18"/>
                <w:szCs w:val="18"/>
                <w:vertAlign w:val="superscript"/>
              </w:rPr>
              <w:t>111,03</w:t>
            </w:r>
          </w:p>
        </w:tc>
        <w:tc>
          <w:tcPr>
            <w:tcW w:w="567" w:type="dxa"/>
          </w:tcPr>
          <w:p w:rsidR="002670F4" w:rsidRPr="001417F7" w:rsidRDefault="009D4E5A" w:rsidP="009D4E5A">
            <w:pPr>
              <w:pStyle w:val="Default"/>
              <w:jc w:val="center"/>
              <w:rPr>
                <w:b/>
                <w:sz w:val="18"/>
                <w:szCs w:val="18"/>
                <w:vertAlign w:val="superscript"/>
              </w:rPr>
            </w:pPr>
            <w:r>
              <w:rPr>
                <w:b/>
                <w:sz w:val="18"/>
                <w:szCs w:val="18"/>
                <w:vertAlign w:val="superscript"/>
              </w:rPr>
              <w:t>63,44</w:t>
            </w:r>
          </w:p>
        </w:tc>
      </w:tr>
      <w:tr w:rsidR="002670F4" w:rsidRPr="009B7F55" w:rsidTr="00FC657E">
        <w:trPr>
          <w:trHeight w:val="746"/>
        </w:trPr>
        <w:tc>
          <w:tcPr>
            <w:tcW w:w="1101" w:type="dxa"/>
          </w:tcPr>
          <w:p w:rsidR="002670F4" w:rsidRDefault="002670F4" w:rsidP="009D4E5A">
            <w:pPr>
              <w:widowControl w:val="0"/>
              <w:spacing w:after="0" w:line="240" w:lineRule="auto"/>
              <w:jc w:val="center"/>
              <w:rPr>
                <w:rFonts w:ascii="Times New Roman" w:hAnsi="Times New Roman" w:cs="Times New Roman"/>
                <w:b/>
                <w:i/>
                <w:vertAlign w:val="subscript"/>
              </w:rPr>
            </w:pPr>
            <w:r>
              <w:rPr>
                <w:rFonts w:ascii="Times New Roman" w:eastAsia="Times New Roman" w:hAnsi="Times New Roman" w:cs="Times New Roman"/>
                <w:b/>
                <w:i/>
                <w:vertAlign w:val="subscript"/>
              </w:rPr>
              <w:t>налоговые</w:t>
            </w:r>
          </w:p>
        </w:tc>
        <w:tc>
          <w:tcPr>
            <w:tcW w:w="992" w:type="dxa"/>
          </w:tcPr>
          <w:p w:rsidR="002670F4" w:rsidRDefault="002670F4" w:rsidP="009D4E5A">
            <w:pPr>
              <w:widowControl w:val="0"/>
              <w:spacing w:after="0" w:line="240" w:lineRule="auto"/>
              <w:jc w:val="center"/>
              <w:rPr>
                <w:rFonts w:ascii="Times New Roman" w:hAnsi="Times New Roman" w:cs="Times New Roman"/>
                <w:b/>
                <w:vertAlign w:val="superscript"/>
              </w:rPr>
            </w:pPr>
            <w:r>
              <w:rPr>
                <w:rFonts w:ascii="Times New Roman" w:hAnsi="Times New Roman" w:cs="Times New Roman"/>
                <w:b/>
                <w:vertAlign w:val="superscript"/>
              </w:rPr>
              <w:t>3 336 730,00</w:t>
            </w:r>
          </w:p>
        </w:tc>
        <w:tc>
          <w:tcPr>
            <w:tcW w:w="992" w:type="dxa"/>
          </w:tcPr>
          <w:p w:rsidR="002670F4" w:rsidRPr="002263FA" w:rsidRDefault="003A5A5A" w:rsidP="009D4E5A">
            <w:pPr>
              <w:pStyle w:val="Default"/>
              <w:jc w:val="center"/>
              <w:rPr>
                <w:b/>
                <w:sz w:val="18"/>
                <w:szCs w:val="18"/>
                <w:vertAlign w:val="superscript"/>
              </w:rPr>
            </w:pPr>
            <w:r>
              <w:rPr>
                <w:b/>
                <w:sz w:val="18"/>
                <w:szCs w:val="18"/>
                <w:vertAlign w:val="superscript"/>
              </w:rPr>
              <w:t>3 336 730,00</w:t>
            </w:r>
          </w:p>
        </w:tc>
        <w:tc>
          <w:tcPr>
            <w:tcW w:w="992" w:type="dxa"/>
          </w:tcPr>
          <w:p w:rsidR="002670F4" w:rsidRPr="001417F7" w:rsidRDefault="00D247E8" w:rsidP="009D4E5A">
            <w:pPr>
              <w:pStyle w:val="Default"/>
              <w:jc w:val="center"/>
              <w:rPr>
                <w:b/>
                <w:sz w:val="18"/>
                <w:szCs w:val="18"/>
                <w:vertAlign w:val="superscript"/>
              </w:rPr>
            </w:pPr>
            <w:r>
              <w:rPr>
                <w:b/>
                <w:sz w:val="18"/>
                <w:szCs w:val="18"/>
                <w:vertAlign w:val="superscript"/>
              </w:rPr>
              <w:t>4 069 136,00</w:t>
            </w:r>
          </w:p>
        </w:tc>
        <w:tc>
          <w:tcPr>
            <w:tcW w:w="567" w:type="dxa"/>
          </w:tcPr>
          <w:p w:rsidR="002670F4" w:rsidRDefault="00603648" w:rsidP="009D4E5A">
            <w:pPr>
              <w:pStyle w:val="Default"/>
              <w:jc w:val="center"/>
              <w:rPr>
                <w:b/>
                <w:sz w:val="18"/>
                <w:szCs w:val="18"/>
                <w:vertAlign w:val="superscript"/>
              </w:rPr>
            </w:pPr>
            <w:r>
              <w:rPr>
                <w:b/>
                <w:sz w:val="18"/>
                <w:szCs w:val="18"/>
                <w:vertAlign w:val="superscript"/>
              </w:rPr>
              <w:t>121,95</w:t>
            </w:r>
          </w:p>
        </w:tc>
        <w:tc>
          <w:tcPr>
            <w:tcW w:w="567" w:type="dxa"/>
          </w:tcPr>
          <w:p w:rsidR="002670F4" w:rsidRDefault="00603648" w:rsidP="009D4E5A">
            <w:pPr>
              <w:pStyle w:val="Default"/>
              <w:jc w:val="center"/>
              <w:rPr>
                <w:b/>
                <w:sz w:val="18"/>
                <w:szCs w:val="18"/>
                <w:vertAlign w:val="superscript"/>
              </w:rPr>
            </w:pPr>
            <w:r>
              <w:rPr>
                <w:b/>
                <w:sz w:val="18"/>
                <w:szCs w:val="18"/>
                <w:vertAlign w:val="superscript"/>
              </w:rPr>
              <w:t>121,95</w:t>
            </w:r>
          </w:p>
        </w:tc>
        <w:tc>
          <w:tcPr>
            <w:tcW w:w="567" w:type="dxa"/>
          </w:tcPr>
          <w:p w:rsidR="002670F4" w:rsidRDefault="000763F7" w:rsidP="009D4E5A">
            <w:pPr>
              <w:pStyle w:val="Default"/>
              <w:rPr>
                <w:b/>
                <w:sz w:val="18"/>
                <w:szCs w:val="18"/>
                <w:vertAlign w:val="superscript"/>
              </w:rPr>
            </w:pPr>
            <w:r>
              <w:rPr>
                <w:b/>
                <w:sz w:val="18"/>
                <w:szCs w:val="18"/>
                <w:vertAlign w:val="superscript"/>
              </w:rPr>
              <w:t>40,41</w:t>
            </w:r>
          </w:p>
        </w:tc>
        <w:tc>
          <w:tcPr>
            <w:tcW w:w="851" w:type="dxa"/>
          </w:tcPr>
          <w:p w:rsidR="002670F4" w:rsidRPr="001417F7" w:rsidRDefault="00D247E8" w:rsidP="009D4E5A">
            <w:pPr>
              <w:pStyle w:val="Default"/>
              <w:jc w:val="center"/>
              <w:rPr>
                <w:b/>
                <w:sz w:val="18"/>
                <w:szCs w:val="18"/>
                <w:vertAlign w:val="superscript"/>
              </w:rPr>
            </w:pPr>
            <w:r>
              <w:rPr>
                <w:b/>
                <w:sz w:val="18"/>
                <w:szCs w:val="18"/>
                <w:vertAlign w:val="superscript"/>
              </w:rPr>
              <w:t>4 125 749,00</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101,39</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44,12</w:t>
            </w:r>
          </w:p>
        </w:tc>
        <w:tc>
          <w:tcPr>
            <w:tcW w:w="850" w:type="dxa"/>
          </w:tcPr>
          <w:p w:rsidR="002670F4" w:rsidRPr="001417F7" w:rsidRDefault="00603648" w:rsidP="009D4E5A">
            <w:pPr>
              <w:pStyle w:val="Default"/>
              <w:jc w:val="center"/>
              <w:rPr>
                <w:b/>
                <w:sz w:val="18"/>
                <w:szCs w:val="18"/>
                <w:vertAlign w:val="superscript"/>
              </w:rPr>
            </w:pPr>
            <w:r>
              <w:rPr>
                <w:b/>
                <w:sz w:val="18"/>
                <w:szCs w:val="18"/>
                <w:vertAlign w:val="superscript"/>
              </w:rPr>
              <w:t>4 756 173,00</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115,28</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47,56</w:t>
            </w:r>
          </w:p>
        </w:tc>
      </w:tr>
      <w:tr w:rsidR="002670F4" w:rsidRPr="009B7F55" w:rsidTr="00FC657E">
        <w:trPr>
          <w:trHeight w:val="746"/>
        </w:trPr>
        <w:tc>
          <w:tcPr>
            <w:tcW w:w="1101" w:type="dxa"/>
          </w:tcPr>
          <w:p w:rsidR="002670F4" w:rsidRDefault="002670F4" w:rsidP="009D4E5A">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vertAlign w:val="subscript"/>
              </w:rPr>
              <w:lastRenderedPageBreak/>
              <w:t>налог на доход физических лиц</w:t>
            </w:r>
          </w:p>
        </w:tc>
        <w:tc>
          <w:tcPr>
            <w:tcW w:w="992" w:type="dxa"/>
          </w:tcPr>
          <w:p w:rsidR="002670F4" w:rsidRDefault="002670F4" w:rsidP="009D4E5A">
            <w:pPr>
              <w:widowControl w:val="0"/>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178 740,00</w:t>
            </w:r>
          </w:p>
        </w:tc>
        <w:tc>
          <w:tcPr>
            <w:tcW w:w="992" w:type="dxa"/>
          </w:tcPr>
          <w:p w:rsidR="002670F4" w:rsidRPr="003A5A5A" w:rsidRDefault="003A5A5A" w:rsidP="009D4E5A">
            <w:pPr>
              <w:pStyle w:val="Default"/>
              <w:jc w:val="center"/>
              <w:rPr>
                <w:sz w:val="18"/>
                <w:szCs w:val="18"/>
                <w:vertAlign w:val="superscript"/>
              </w:rPr>
            </w:pPr>
            <w:r w:rsidRPr="003A5A5A">
              <w:rPr>
                <w:sz w:val="18"/>
                <w:szCs w:val="18"/>
                <w:vertAlign w:val="superscript"/>
              </w:rPr>
              <w:t>178 740,00</w:t>
            </w:r>
          </w:p>
        </w:tc>
        <w:tc>
          <w:tcPr>
            <w:tcW w:w="992" w:type="dxa"/>
          </w:tcPr>
          <w:p w:rsidR="002670F4" w:rsidRPr="00D247E8" w:rsidRDefault="00592FA8" w:rsidP="009D4E5A">
            <w:pPr>
              <w:pStyle w:val="Default"/>
              <w:jc w:val="center"/>
              <w:rPr>
                <w:sz w:val="18"/>
                <w:szCs w:val="18"/>
                <w:vertAlign w:val="superscript"/>
              </w:rPr>
            </w:pPr>
            <w:r w:rsidRPr="00D247E8">
              <w:rPr>
                <w:sz w:val="18"/>
                <w:szCs w:val="18"/>
                <w:vertAlign w:val="superscript"/>
              </w:rPr>
              <w:t>302 364,00</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169,16</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169,16</w:t>
            </w:r>
          </w:p>
        </w:tc>
        <w:tc>
          <w:tcPr>
            <w:tcW w:w="567" w:type="dxa"/>
          </w:tcPr>
          <w:p w:rsidR="002670F4" w:rsidRPr="00D247E8" w:rsidRDefault="000763F7" w:rsidP="009D4E5A">
            <w:pPr>
              <w:pStyle w:val="Default"/>
              <w:rPr>
                <w:sz w:val="18"/>
                <w:szCs w:val="18"/>
                <w:vertAlign w:val="superscript"/>
              </w:rPr>
            </w:pPr>
            <w:r>
              <w:rPr>
                <w:sz w:val="18"/>
                <w:szCs w:val="18"/>
                <w:vertAlign w:val="superscript"/>
              </w:rPr>
              <w:t>3,01</w:t>
            </w:r>
          </w:p>
        </w:tc>
        <w:tc>
          <w:tcPr>
            <w:tcW w:w="851" w:type="dxa"/>
          </w:tcPr>
          <w:p w:rsidR="002670F4" w:rsidRPr="00D247E8" w:rsidRDefault="00592FA8" w:rsidP="009D4E5A">
            <w:pPr>
              <w:pStyle w:val="Default"/>
              <w:jc w:val="center"/>
              <w:rPr>
                <w:sz w:val="18"/>
                <w:szCs w:val="18"/>
                <w:vertAlign w:val="superscript"/>
              </w:rPr>
            </w:pPr>
            <w:r w:rsidRPr="00D247E8">
              <w:rPr>
                <w:sz w:val="18"/>
                <w:szCs w:val="18"/>
                <w:vertAlign w:val="superscript"/>
              </w:rPr>
              <w:t>319 285,00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105,60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3,41</w:t>
            </w:r>
          </w:p>
        </w:tc>
        <w:tc>
          <w:tcPr>
            <w:tcW w:w="850" w:type="dxa"/>
          </w:tcPr>
          <w:p w:rsidR="002670F4" w:rsidRPr="00D247E8" w:rsidRDefault="00592FA8" w:rsidP="009D4E5A">
            <w:pPr>
              <w:pStyle w:val="Default"/>
              <w:jc w:val="center"/>
              <w:rPr>
                <w:sz w:val="18"/>
                <w:szCs w:val="18"/>
                <w:vertAlign w:val="superscript"/>
              </w:rPr>
            </w:pPr>
            <w:r w:rsidRPr="00D247E8">
              <w:rPr>
                <w:sz w:val="18"/>
                <w:szCs w:val="18"/>
                <w:vertAlign w:val="superscript"/>
              </w:rPr>
              <w:t>336 301,00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105,33</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3,36</w:t>
            </w:r>
          </w:p>
        </w:tc>
      </w:tr>
      <w:tr w:rsidR="002670F4" w:rsidRPr="009B7F55" w:rsidTr="00FC657E">
        <w:trPr>
          <w:trHeight w:val="746"/>
        </w:trPr>
        <w:tc>
          <w:tcPr>
            <w:tcW w:w="1101" w:type="dxa"/>
          </w:tcPr>
          <w:p w:rsidR="002670F4" w:rsidRDefault="002670F4" w:rsidP="009D4E5A">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vertAlign w:val="subscript"/>
              </w:rPr>
              <w:t>налоги на товары реализуемые на территории РФ(АКЦИЗЫ)</w:t>
            </w:r>
          </w:p>
        </w:tc>
        <w:tc>
          <w:tcPr>
            <w:tcW w:w="992" w:type="dxa"/>
          </w:tcPr>
          <w:p w:rsidR="002670F4" w:rsidRDefault="002670F4" w:rsidP="009D4E5A">
            <w:pPr>
              <w:widowControl w:val="0"/>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1 550 990,00</w:t>
            </w:r>
          </w:p>
        </w:tc>
        <w:tc>
          <w:tcPr>
            <w:tcW w:w="992" w:type="dxa"/>
          </w:tcPr>
          <w:p w:rsidR="002670F4" w:rsidRPr="003A5A5A" w:rsidRDefault="003A5A5A" w:rsidP="009D4E5A">
            <w:pPr>
              <w:pStyle w:val="Default"/>
              <w:jc w:val="center"/>
              <w:rPr>
                <w:sz w:val="18"/>
                <w:szCs w:val="18"/>
                <w:vertAlign w:val="superscript"/>
              </w:rPr>
            </w:pPr>
            <w:r w:rsidRPr="003A5A5A">
              <w:rPr>
                <w:sz w:val="18"/>
                <w:szCs w:val="18"/>
                <w:vertAlign w:val="superscript"/>
              </w:rPr>
              <w:t>1 550 990,00</w:t>
            </w:r>
          </w:p>
        </w:tc>
        <w:tc>
          <w:tcPr>
            <w:tcW w:w="992" w:type="dxa"/>
          </w:tcPr>
          <w:p w:rsidR="002670F4" w:rsidRPr="00D247E8" w:rsidRDefault="00592FA8" w:rsidP="009D4E5A">
            <w:pPr>
              <w:pStyle w:val="Default"/>
              <w:jc w:val="center"/>
              <w:rPr>
                <w:sz w:val="18"/>
                <w:szCs w:val="18"/>
                <w:vertAlign w:val="superscript"/>
              </w:rPr>
            </w:pPr>
            <w:r w:rsidRPr="00D247E8">
              <w:rPr>
                <w:sz w:val="18"/>
                <w:szCs w:val="18"/>
                <w:vertAlign w:val="superscript"/>
              </w:rPr>
              <w:t>1 719 716,00</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110,88</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110,88</w:t>
            </w:r>
          </w:p>
        </w:tc>
        <w:tc>
          <w:tcPr>
            <w:tcW w:w="567" w:type="dxa"/>
          </w:tcPr>
          <w:p w:rsidR="002670F4" w:rsidRPr="00D247E8" w:rsidRDefault="000763F7" w:rsidP="009D4E5A">
            <w:pPr>
              <w:pStyle w:val="Default"/>
              <w:rPr>
                <w:sz w:val="18"/>
                <w:szCs w:val="18"/>
                <w:vertAlign w:val="superscript"/>
              </w:rPr>
            </w:pPr>
            <w:r>
              <w:rPr>
                <w:sz w:val="18"/>
                <w:szCs w:val="18"/>
                <w:vertAlign w:val="superscript"/>
              </w:rPr>
              <w:t>17,07</w:t>
            </w:r>
          </w:p>
        </w:tc>
        <w:tc>
          <w:tcPr>
            <w:tcW w:w="851" w:type="dxa"/>
          </w:tcPr>
          <w:p w:rsidR="002670F4" w:rsidRPr="00D247E8" w:rsidRDefault="00592FA8" w:rsidP="009D4E5A">
            <w:pPr>
              <w:pStyle w:val="Default"/>
              <w:jc w:val="center"/>
              <w:rPr>
                <w:sz w:val="18"/>
                <w:szCs w:val="18"/>
                <w:vertAlign w:val="superscript"/>
              </w:rPr>
            </w:pPr>
            <w:r w:rsidRPr="00D247E8">
              <w:rPr>
                <w:sz w:val="18"/>
                <w:szCs w:val="18"/>
                <w:vertAlign w:val="superscript"/>
              </w:rPr>
              <w:t>1 759 357,00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102,31</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18,82</w:t>
            </w:r>
          </w:p>
        </w:tc>
        <w:tc>
          <w:tcPr>
            <w:tcW w:w="850" w:type="dxa"/>
          </w:tcPr>
          <w:p w:rsidR="002670F4" w:rsidRPr="00D247E8" w:rsidRDefault="00592FA8" w:rsidP="009D4E5A">
            <w:pPr>
              <w:pStyle w:val="Default"/>
              <w:jc w:val="center"/>
              <w:rPr>
                <w:sz w:val="18"/>
                <w:szCs w:val="18"/>
                <w:vertAlign w:val="superscript"/>
              </w:rPr>
            </w:pPr>
            <w:r w:rsidRPr="00D247E8">
              <w:rPr>
                <w:sz w:val="18"/>
                <w:szCs w:val="18"/>
                <w:vertAlign w:val="superscript"/>
              </w:rPr>
              <w:t>2 372 703,00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134,86</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23,73</w:t>
            </w:r>
          </w:p>
        </w:tc>
      </w:tr>
      <w:tr w:rsidR="002670F4" w:rsidRPr="009B7F55" w:rsidTr="00FC657E">
        <w:trPr>
          <w:trHeight w:val="746"/>
        </w:trPr>
        <w:tc>
          <w:tcPr>
            <w:tcW w:w="1101" w:type="dxa"/>
          </w:tcPr>
          <w:p w:rsidR="002670F4" w:rsidRDefault="002670F4" w:rsidP="009D4E5A">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vertAlign w:val="subscript"/>
              </w:rPr>
              <w:t>налоги на совокупный доход</w:t>
            </w:r>
          </w:p>
        </w:tc>
        <w:tc>
          <w:tcPr>
            <w:tcW w:w="992" w:type="dxa"/>
          </w:tcPr>
          <w:p w:rsidR="002670F4" w:rsidRDefault="002670F4" w:rsidP="009D4E5A">
            <w:pPr>
              <w:widowControl w:val="0"/>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21 000,00</w:t>
            </w:r>
          </w:p>
        </w:tc>
        <w:tc>
          <w:tcPr>
            <w:tcW w:w="992" w:type="dxa"/>
          </w:tcPr>
          <w:p w:rsidR="002670F4" w:rsidRPr="003A5A5A" w:rsidRDefault="003A5A5A" w:rsidP="009D4E5A">
            <w:pPr>
              <w:pStyle w:val="Default"/>
              <w:jc w:val="center"/>
              <w:rPr>
                <w:sz w:val="18"/>
                <w:szCs w:val="18"/>
                <w:vertAlign w:val="superscript"/>
              </w:rPr>
            </w:pPr>
            <w:r w:rsidRPr="003A5A5A">
              <w:rPr>
                <w:sz w:val="18"/>
                <w:szCs w:val="18"/>
                <w:vertAlign w:val="superscript"/>
              </w:rPr>
              <w:t>21 000,00</w:t>
            </w:r>
          </w:p>
        </w:tc>
        <w:tc>
          <w:tcPr>
            <w:tcW w:w="992" w:type="dxa"/>
          </w:tcPr>
          <w:p w:rsidR="002670F4" w:rsidRPr="00D247E8" w:rsidRDefault="00592FA8" w:rsidP="009D4E5A">
            <w:pPr>
              <w:pStyle w:val="Default"/>
              <w:jc w:val="center"/>
              <w:rPr>
                <w:sz w:val="18"/>
                <w:szCs w:val="18"/>
                <w:vertAlign w:val="superscript"/>
              </w:rPr>
            </w:pPr>
            <w:r w:rsidRPr="00D247E8">
              <w:rPr>
                <w:sz w:val="18"/>
                <w:szCs w:val="18"/>
                <w:vertAlign w:val="superscript"/>
              </w:rPr>
              <w:t>2 056,00</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9,79</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9,79</w:t>
            </w:r>
          </w:p>
        </w:tc>
        <w:tc>
          <w:tcPr>
            <w:tcW w:w="567" w:type="dxa"/>
          </w:tcPr>
          <w:p w:rsidR="002670F4" w:rsidRPr="00D247E8" w:rsidRDefault="000763F7" w:rsidP="009D4E5A">
            <w:pPr>
              <w:pStyle w:val="Default"/>
              <w:rPr>
                <w:sz w:val="18"/>
                <w:szCs w:val="18"/>
                <w:vertAlign w:val="superscript"/>
              </w:rPr>
            </w:pPr>
            <w:r>
              <w:rPr>
                <w:sz w:val="18"/>
                <w:szCs w:val="18"/>
                <w:vertAlign w:val="superscript"/>
              </w:rPr>
              <w:t>0,02</w:t>
            </w:r>
          </w:p>
        </w:tc>
        <w:tc>
          <w:tcPr>
            <w:tcW w:w="851" w:type="dxa"/>
          </w:tcPr>
          <w:p w:rsidR="002670F4" w:rsidRPr="00D247E8" w:rsidRDefault="00592FA8" w:rsidP="009D4E5A">
            <w:pPr>
              <w:pStyle w:val="Default"/>
              <w:jc w:val="center"/>
              <w:rPr>
                <w:sz w:val="18"/>
                <w:szCs w:val="18"/>
                <w:vertAlign w:val="superscript"/>
              </w:rPr>
            </w:pPr>
            <w:r w:rsidRPr="00D247E8">
              <w:rPr>
                <w:sz w:val="18"/>
                <w:szCs w:val="18"/>
                <w:vertAlign w:val="superscript"/>
              </w:rPr>
              <w:t>2 107,00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102,48</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0,02</w:t>
            </w:r>
          </w:p>
        </w:tc>
        <w:tc>
          <w:tcPr>
            <w:tcW w:w="850" w:type="dxa"/>
          </w:tcPr>
          <w:p w:rsidR="002670F4" w:rsidRPr="00D247E8" w:rsidRDefault="00592FA8" w:rsidP="009D4E5A">
            <w:pPr>
              <w:pStyle w:val="Default"/>
              <w:jc w:val="center"/>
              <w:rPr>
                <w:sz w:val="18"/>
                <w:szCs w:val="18"/>
                <w:vertAlign w:val="superscript"/>
              </w:rPr>
            </w:pPr>
            <w:r w:rsidRPr="00D247E8">
              <w:rPr>
                <w:sz w:val="18"/>
                <w:szCs w:val="18"/>
                <w:vertAlign w:val="superscript"/>
              </w:rPr>
              <w:t>2 169,00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102,94</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0,02</w:t>
            </w:r>
          </w:p>
        </w:tc>
      </w:tr>
      <w:tr w:rsidR="002670F4" w:rsidRPr="009B7F55" w:rsidTr="00FC657E">
        <w:trPr>
          <w:trHeight w:val="746"/>
        </w:trPr>
        <w:tc>
          <w:tcPr>
            <w:tcW w:w="1101" w:type="dxa"/>
          </w:tcPr>
          <w:p w:rsidR="002670F4" w:rsidRDefault="002670F4" w:rsidP="009D4E5A">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vertAlign w:val="subscript"/>
              </w:rPr>
              <w:t>налог на имущество</w:t>
            </w:r>
          </w:p>
        </w:tc>
        <w:tc>
          <w:tcPr>
            <w:tcW w:w="992" w:type="dxa"/>
          </w:tcPr>
          <w:p w:rsidR="002670F4" w:rsidRDefault="002670F4" w:rsidP="009D4E5A">
            <w:pPr>
              <w:widowControl w:val="0"/>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1 579 000,00</w:t>
            </w:r>
          </w:p>
        </w:tc>
        <w:tc>
          <w:tcPr>
            <w:tcW w:w="992" w:type="dxa"/>
          </w:tcPr>
          <w:p w:rsidR="002670F4" w:rsidRPr="003A5A5A" w:rsidRDefault="003A5A5A" w:rsidP="009D4E5A">
            <w:pPr>
              <w:pStyle w:val="Default"/>
              <w:jc w:val="center"/>
              <w:rPr>
                <w:sz w:val="18"/>
                <w:szCs w:val="18"/>
                <w:vertAlign w:val="superscript"/>
              </w:rPr>
            </w:pPr>
            <w:r w:rsidRPr="003A5A5A">
              <w:rPr>
                <w:sz w:val="18"/>
                <w:szCs w:val="18"/>
                <w:vertAlign w:val="superscript"/>
              </w:rPr>
              <w:t>1 579 000,00</w:t>
            </w:r>
          </w:p>
        </w:tc>
        <w:tc>
          <w:tcPr>
            <w:tcW w:w="992" w:type="dxa"/>
          </w:tcPr>
          <w:p w:rsidR="002670F4" w:rsidRPr="00D247E8" w:rsidRDefault="00592FA8" w:rsidP="009D4E5A">
            <w:pPr>
              <w:pStyle w:val="Default"/>
              <w:jc w:val="center"/>
              <w:rPr>
                <w:sz w:val="18"/>
                <w:szCs w:val="18"/>
                <w:vertAlign w:val="superscript"/>
              </w:rPr>
            </w:pPr>
            <w:r w:rsidRPr="00D247E8">
              <w:rPr>
                <w:sz w:val="18"/>
                <w:szCs w:val="18"/>
                <w:vertAlign w:val="superscript"/>
              </w:rPr>
              <w:t>2 043 000,00</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129,39</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129,39</w:t>
            </w:r>
          </w:p>
        </w:tc>
        <w:tc>
          <w:tcPr>
            <w:tcW w:w="567" w:type="dxa"/>
          </w:tcPr>
          <w:p w:rsidR="002670F4" w:rsidRPr="00D247E8" w:rsidRDefault="000763F7" w:rsidP="009D4E5A">
            <w:pPr>
              <w:pStyle w:val="Default"/>
              <w:rPr>
                <w:sz w:val="18"/>
                <w:szCs w:val="18"/>
                <w:vertAlign w:val="superscript"/>
              </w:rPr>
            </w:pPr>
            <w:r>
              <w:rPr>
                <w:sz w:val="18"/>
                <w:szCs w:val="18"/>
                <w:vertAlign w:val="superscript"/>
              </w:rPr>
              <w:t>20,29</w:t>
            </w:r>
          </w:p>
        </w:tc>
        <w:tc>
          <w:tcPr>
            <w:tcW w:w="851" w:type="dxa"/>
          </w:tcPr>
          <w:p w:rsidR="002670F4" w:rsidRPr="00D247E8" w:rsidRDefault="00592FA8" w:rsidP="009D4E5A">
            <w:pPr>
              <w:pStyle w:val="Default"/>
              <w:jc w:val="center"/>
              <w:rPr>
                <w:sz w:val="18"/>
                <w:szCs w:val="18"/>
                <w:vertAlign w:val="superscript"/>
              </w:rPr>
            </w:pPr>
            <w:r w:rsidRPr="00D247E8">
              <w:rPr>
                <w:sz w:val="18"/>
                <w:szCs w:val="18"/>
                <w:vertAlign w:val="superscript"/>
              </w:rPr>
              <w:t>2 043 000,00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100,00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21,85</w:t>
            </w:r>
          </w:p>
        </w:tc>
        <w:tc>
          <w:tcPr>
            <w:tcW w:w="850" w:type="dxa"/>
          </w:tcPr>
          <w:p w:rsidR="002670F4" w:rsidRPr="00D247E8" w:rsidRDefault="00592FA8" w:rsidP="009D4E5A">
            <w:pPr>
              <w:pStyle w:val="Default"/>
              <w:jc w:val="center"/>
              <w:rPr>
                <w:sz w:val="18"/>
                <w:szCs w:val="18"/>
                <w:vertAlign w:val="superscript"/>
              </w:rPr>
            </w:pPr>
            <w:r w:rsidRPr="00D247E8">
              <w:rPr>
                <w:sz w:val="18"/>
                <w:szCs w:val="18"/>
                <w:vertAlign w:val="superscript"/>
              </w:rPr>
              <w:t>2 043 000,00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100,00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20,43</w:t>
            </w:r>
          </w:p>
        </w:tc>
      </w:tr>
      <w:tr w:rsidR="002670F4" w:rsidRPr="009B7F55" w:rsidTr="00FC657E">
        <w:trPr>
          <w:trHeight w:val="746"/>
        </w:trPr>
        <w:tc>
          <w:tcPr>
            <w:tcW w:w="1101" w:type="dxa"/>
          </w:tcPr>
          <w:p w:rsidR="002670F4" w:rsidRDefault="002670F4" w:rsidP="009D4E5A">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vertAlign w:val="subscript"/>
              </w:rPr>
              <w:t>государственная пошлина</w:t>
            </w:r>
          </w:p>
        </w:tc>
        <w:tc>
          <w:tcPr>
            <w:tcW w:w="992" w:type="dxa"/>
          </w:tcPr>
          <w:p w:rsidR="002670F4" w:rsidRDefault="002670F4" w:rsidP="009D4E5A">
            <w:pPr>
              <w:widowControl w:val="0"/>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7 000,00</w:t>
            </w:r>
          </w:p>
        </w:tc>
        <w:tc>
          <w:tcPr>
            <w:tcW w:w="992" w:type="dxa"/>
          </w:tcPr>
          <w:p w:rsidR="002670F4" w:rsidRPr="003A5A5A" w:rsidRDefault="003A5A5A" w:rsidP="009D4E5A">
            <w:pPr>
              <w:pStyle w:val="Default"/>
              <w:jc w:val="center"/>
              <w:rPr>
                <w:sz w:val="18"/>
                <w:szCs w:val="18"/>
                <w:vertAlign w:val="superscript"/>
              </w:rPr>
            </w:pPr>
            <w:r w:rsidRPr="003A5A5A">
              <w:rPr>
                <w:sz w:val="18"/>
                <w:szCs w:val="18"/>
                <w:vertAlign w:val="superscript"/>
              </w:rPr>
              <w:t>7 000,00</w:t>
            </w:r>
          </w:p>
        </w:tc>
        <w:tc>
          <w:tcPr>
            <w:tcW w:w="992" w:type="dxa"/>
          </w:tcPr>
          <w:p w:rsidR="002670F4" w:rsidRPr="00D247E8" w:rsidRDefault="00592FA8" w:rsidP="009D4E5A">
            <w:pPr>
              <w:pStyle w:val="Default"/>
              <w:jc w:val="center"/>
              <w:rPr>
                <w:sz w:val="18"/>
                <w:szCs w:val="18"/>
                <w:vertAlign w:val="superscript"/>
              </w:rPr>
            </w:pPr>
            <w:r w:rsidRPr="00D247E8">
              <w:rPr>
                <w:sz w:val="18"/>
                <w:szCs w:val="18"/>
                <w:vertAlign w:val="superscript"/>
              </w:rPr>
              <w:t>2 000,00</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28,57</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28,57</w:t>
            </w:r>
          </w:p>
        </w:tc>
        <w:tc>
          <w:tcPr>
            <w:tcW w:w="567" w:type="dxa"/>
          </w:tcPr>
          <w:p w:rsidR="002670F4" w:rsidRPr="00D247E8" w:rsidRDefault="000763F7" w:rsidP="009D4E5A">
            <w:pPr>
              <w:pStyle w:val="Default"/>
              <w:rPr>
                <w:sz w:val="18"/>
                <w:szCs w:val="18"/>
                <w:vertAlign w:val="superscript"/>
              </w:rPr>
            </w:pPr>
            <w:r>
              <w:rPr>
                <w:sz w:val="18"/>
                <w:szCs w:val="18"/>
                <w:vertAlign w:val="superscript"/>
              </w:rPr>
              <w:t>0,02</w:t>
            </w:r>
          </w:p>
        </w:tc>
        <w:tc>
          <w:tcPr>
            <w:tcW w:w="851" w:type="dxa"/>
          </w:tcPr>
          <w:p w:rsidR="002670F4" w:rsidRPr="00D247E8" w:rsidRDefault="00592FA8" w:rsidP="009D4E5A">
            <w:pPr>
              <w:pStyle w:val="Default"/>
              <w:jc w:val="center"/>
              <w:rPr>
                <w:sz w:val="18"/>
                <w:szCs w:val="18"/>
                <w:vertAlign w:val="superscript"/>
              </w:rPr>
            </w:pPr>
            <w:r w:rsidRPr="00D247E8">
              <w:rPr>
                <w:sz w:val="18"/>
                <w:szCs w:val="18"/>
                <w:vertAlign w:val="superscript"/>
              </w:rPr>
              <w:t>2 000,00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100,00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0,02</w:t>
            </w:r>
          </w:p>
        </w:tc>
        <w:tc>
          <w:tcPr>
            <w:tcW w:w="850" w:type="dxa"/>
          </w:tcPr>
          <w:p w:rsidR="002670F4" w:rsidRPr="00D247E8" w:rsidRDefault="00592FA8" w:rsidP="009D4E5A">
            <w:pPr>
              <w:pStyle w:val="Default"/>
              <w:jc w:val="center"/>
              <w:rPr>
                <w:sz w:val="18"/>
                <w:szCs w:val="18"/>
                <w:vertAlign w:val="superscript"/>
              </w:rPr>
            </w:pPr>
            <w:r w:rsidRPr="00D247E8">
              <w:rPr>
                <w:sz w:val="18"/>
                <w:szCs w:val="18"/>
                <w:vertAlign w:val="superscript"/>
              </w:rPr>
              <w:t>2 000,00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100,00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0,02</w:t>
            </w:r>
          </w:p>
        </w:tc>
      </w:tr>
      <w:tr w:rsidR="002670F4" w:rsidRPr="009B7F55" w:rsidTr="00FC657E">
        <w:trPr>
          <w:trHeight w:val="746"/>
        </w:trPr>
        <w:tc>
          <w:tcPr>
            <w:tcW w:w="1101" w:type="dxa"/>
          </w:tcPr>
          <w:p w:rsidR="002670F4" w:rsidRDefault="002670F4" w:rsidP="009D4E5A">
            <w:pPr>
              <w:widowControl w:val="0"/>
              <w:spacing w:after="0" w:line="240" w:lineRule="auto"/>
              <w:jc w:val="center"/>
              <w:rPr>
                <w:rFonts w:ascii="Times New Roman" w:hAnsi="Times New Roman" w:cs="Times New Roman"/>
                <w:b/>
                <w:i/>
                <w:vertAlign w:val="subscript"/>
              </w:rPr>
            </w:pPr>
            <w:r>
              <w:rPr>
                <w:rFonts w:ascii="Times New Roman" w:eastAsia="Times New Roman" w:hAnsi="Times New Roman" w:cs="Times New Roman"/>
                <w:b/>
                <w:i/>
                <w:vertAlign w:val="subscript"/>
              </w:rPr>
              <w:t>неналоговые</w:t>
            </w:r>
          </w:p>
        </w:tc>
        <w:tc>
          <w:tcPr>
            <w:tcW w:w="992" w:type="dxa"/>
          </w:tcPr>
          <w:p w:rsidR="002670F4" w:rsidRDefault="002670F4" w:rsidP="009D4E5A">
            <w:pPr>
              <w:widowControl w:val="0"/>
              <w:spacing w:after="0" w:line="240" w:lineRule="auto"/>
              <w:jc w:val="center"/>
              <w:rPr>
                <w:rFonts w:ascii="Times New Roman" w:hAnsi="Times New Roman" w:cs="Times New Roman"/>
                <w:b/>
                <w:vertAlign w:val="superscript"/>
              </w:rPr>
            </w:pPr>
            <w:r>
              <w:rPr>
                <w:rFonts w:ascii="Times New Roman" w:hAnsi="Times New Roman" w:cs="Times New Roman"/>
                <w:b/>
                <w:vertAlign w:val="superscript"/>
              </w:rPr>
              <w:t>797 700,00</w:t>
            </w:r>
          </w:p>
        </w:tc>
        <w:tc>
          <w:tcPr>
            <w:tcW w:w="992" w:type="dxa"/>
          </w:tcPr>
          <w:p w:rsidR="002670F4" w:rsidRPr="002263FA" w:rsidRDefault="003A5A5A" w:rsidP="009D4E5A">
            <w:pPr>
              <w:pStyle w:val="Default"/>
              <w:jc w:val="center"/>
              <w:rPr>
                <w:b/>
                <w:sz w:val="18"/>
                <w:szCs w:val="18"/>
                <w:vertAlign w:val="superscript"/>
              </w:rPr>
            </w:pPr>
            <w:r>
              <w:rPr>
                <w:b/>
                <w:sz w:val="18"/>
                <w:szCs w:val="18"/>
                <w:vertAlign w:val="superscript"/>
              </w:rPr>
              <w:t>807 427,68</w:t>
            </w:r>
          </w:p>
        </w:tc>
        <w:tc>
          <w:tcPr>
            <w:tcW w:w="992" w:type="dxa"/>
          </w:tcPr>
          <w:p w:rsidR="002670F4" w:rsidRPr="001417F7" w:rsidRDefault="00D247E8" w:rsidP="009D4E5A">
            <w:pPr>
              <w:pStyle w:val="Default"/>
              <w:jc w:val="center"/>
              <w:rPr>
                <w:b/>
                <w:sz w:val="18"/>
                <w:szCs w:val="18"/>
                <w:vertAlign w:val="superscript"/>
              </w:rPr>
            </w:pPr>
            <w:r>
              <w:rPr>
                <w:b/>
                <w:sz w:val="18"/>
                <w:szCs w:val="18"/>
                <w:vertAlign w:val="superscript"/>
              </w:rPr>
              <w:t>1 587 446,00</w:t>
            </w:r>
          </w:p>
        </w:tc>
        <w:tc>
          <w:tcPr>
            <w:tcW w:w="567" w:type="dxa"/>
          </w:tcPr>
          <w:p w:rsidR="002670F4" w:rsidRDefault="00603648" w:rsidP="009D4E5A">
            <w:pPr>
              <w:pStyle w:val="Default"/>
              <w:jc w:val="center"/>
              <w:rPr>
                <w:b/>
                <w:sz w:val="18"/>
                <w:szCs w:val="18"/>
                <w:vertAlign w:val="superscript"/>
              </w:rPr>
            </w:pPr>
            <w:r>
              <w:rPr>
                <w:b/>
                <w:sz w:val="18"/>
                <w:szCs w:val="18"/>
                <w:vertAlign w:val="superscript"/>
              </w:rPr>
              <w:t>199,00</w:t>
            </w:r>
          </w:p>
        </w:tc>
        <w:tc>
          <w:tcPr>
            <w:tcW w:w="567" w:type="dxa"/>
          </w:tcPr>
          <w:p w:rsidR="002670F4" w:rsidRDefault="00603648" w:rsidP="009D4E5A">
            <w:pPr>
              <w:pStyle w:val="Default"/>
              <w:jc w:val="center"/>
              <w:rPr>
                <w:b/>
                <w:sz w:val="18"/>
                <w:szCs w:val="18"/>
                <w:vertAlign w:val="superscript"/>
              </w:rPr>
            </w:pPr>
            <w:r>
              <w:rPr>
                <w:b/>
                <w:sz w:val="18"/>
                <w:szCs w:val="18"/>
                <w:vertAlign w:val="superscript"/>
              </w:rPr>
              <w:t>196,61</w:t>
            </w:r>
          </w:p>
        </w:tc>
        <w:tc>
          <w:tcPr>
            <w:tcW w:w="567" w:type="dxa"/>
          </w:tcPr>
          <w:p w:rsidR="002670F4" w:rsidRDefault="000763F7" w:rsidP="009D4E5A">
            <w:pPr>
              <w:pStyle w:val="Default"/>
              <w:rPr>
                <w:b/>
                <w:sz w:val="18"/>
                <w:szCs w:val="18"/>
                <w:vertAlign w:val="superscript"/>
              </w:rPr>
            </w:pPr>
            <w:r>
              <w:rPr>
                <w:b/>
                <w:sz w:val="18"/>
                <w:szCs w:val="18"/>
                <w:vertAlign w:val="superscript"/>
              </w:rPr>
              <w:t>15,76</w:t>
            </w:r>
          </w:p>
        </w:tc>
        <w:tc>
          <w:tcPr>
            <w:tcW w:w="851" w:type="dxa"/>
          </w:tcPr>
          <w:p w:rsidR="002670F4" w:rsidRPr="001417F7" w:rsidRDefault="00D247E8" w:rsidP="00D247E8">
            <w:pPr>
              <w:pStyle w:val="Default"/>
              <w:jc w:val="center"/>
              <w:rPr>
                <w:b/>
                <w:sz w:val="18"/>
                <w:szCs w:val="18"/>
                <w:vertAlign w:val="superscript"/>
              </w:rPr>
            </w:pPr>
            <w:r>
              <w:rPr>
                <w:b/>
                <w:sz w:val="18"/>
                <w:szCs w:val="18"/>
                <w:vertAlign w:val="superscript"/>
              </w:rPr>
              <w:t>1 587 446,00</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100,00</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16,98</w:t>
            </w:r>
          </w:p>
        </w:tc>
        <w:tc>
          <w:tcPr>
            <w:tcW w:w="850" w:type="dxa"/>
          </w:tcPr>
          <w:p w:rsidR="002670F4" w:rsidRPr="00D247E8" w:rsidRDefault="00D247E8" w:rsidP="009D4E5A">
            <w:pPr>
              <w:pStyle w:val="Default"/>
              <w:jc w:val="center"/>
              <w:rPr>
                <w:sz w:val="18"/>
                <w:szCs w:val="18"/>
                <w:vertAlign w:val="superscript"/>
              </w:rPr>
            </w:pPr>
            <w:r>
              <w:rPr>
                <w:b/>
                <w:sz w:val="18"/>
                <w:szCs w:val="18"/>
                <w:vertAlign w:val="superscript"/>
              </w:rPr>
              <w:t>1 587 446,00</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100,00</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15,88</w:t>
            </w:r>
          </w:p>
        </w:tc>
      </w:tr>
      <w:tr w:rsidR="002670F4" w:rsidRPr="009B7F55" w:rsidTr="00FC657E">
        <w:trPr>
          <w:trHeight w:val="746"/>
        </w:trPr>
        <w:tc>
          <w:tcPr>
            <w:tcW w:w="1101" w:type="dxa"/>
          </w:tcPr>
          <w:p w:rsidR="002670F4" w:rsidRDefault="002670F4" w:rsidP="009D4E5A">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vertAlign w:val="subscript"/>
              </w:rPr>
              <w:t>Доходы от использования имущества, находящегося в государственной и муниципальной собственности</w:t>
            </w:r>
          </w:p>
        </w:tc>
        <w:tc>
          <w:tcPr>
            <w:tcW w:w="992" w:type="dxa"/>
          </w:tcPr>
          <w:p w:rsidR="002670F4" w:rsidRDefault="002670F4" w:rsidP="009D4E5A">
            <w:pPr>
              <w:widowControl w:val="0"/>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750 000,00</w:t>
            </w:r>
          </w:p>
        </w:tc>
        <w:tc>
          <w:tcPr>
            <w:tcW w:w="992" w:type="dxa"/>
          </w:tcPr>
          <w:p w:rsidR="002670F4" w:rsidRPr="003A5A5A" w:rsidRDefault="003A5A5A" w:rsidP="009D4E5A">
            <w:pPr>
              <w:pStyle w:val="Default"/>
              <w:jc w:val="center"/>
              <w:rPr>
                <w:sz w:val="18"/>
                <w:szCs w:val="18"/>
                <w:vertAlign w:val="superscript"/>
              </w:rPr>
            </w:pPr>
            <w:r w:rsidRPr="003A5A5A">
              <w:rPr>
                <w:sz w:val="18"/>
                <w:szCs w:val="18"/>
                <w:vertAlign w:val="superscript"/>
              </w:rPr>
              <w:t>750 000,00</w:t>
            </w:r>
          </w:p>
        </w:tc>
        <w:tc>
          <w:tcPr>
            <w:tcW w:w="992" w:type="dxa"/>
          </w:tcPr>
          <w:p w:rsidR="002670F4" w:rsidRPr="00D247E8" w:rsidRDefault="00592FA8" w:rsidP="009D4E5A">
            <w:pPr>
              <w:pStyle w:val="Default"/>
              <w:jc w:val="center"/>
              <w:rPr>
                <w:sz w:val="18"/>
                <w:szCs w:val="18"/>
                <w:vertAlign w:val="superscript"/>
              </w:rPr>
            </w:pPr>
            <w:r w:rsidRPr="00D247E8">
              <w:rPr>
                <w:sz w:val="18"/>
                <w:szCs w:val="18"/>
                <w:vertAlign w:val="superscript"/>
              </w:rPr>
              <w:t>1 532 116,00</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204,28</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204,28</w:t>
            </w:r>
          </w:p>
        </w:tc>
        <w:tc>
          <w:tcPr>
            <w:tcW w:w="567" w:type="dxa"/>
          </w:tcPr>
          <w:p w:rsidR="002670F4" w:rsidRPr="00D247E8" w:rsidRDefault="000763F7" w:rsidP="009D4E5A">
            <w:pPr>
              <w:pStyle w:val="Default"/>
              <w:rPr>
                <w:sz w:val="18"/>
                <w:szCs w:val="18"/>
                <w:vertAlign w:val="superscript"/>
              </w:rPr>
            </w:pPr>
            <w:r>
              <w:rPr>
                <w:sz w:val="18"/>
                <w:szCs w:val="18"/>
                <w:vertAlign w:val="superscript"/>
              </w:rPr>
              <w:t>15,21</w:t>
            </w:r>
          </w:p>
        </w:tc>
        <w:tc>
          <w:tcPr>
            <w:tcW w:w="851" w:type="dxa"/>
          </w:tcPr>
          <w:p w:rsidR="002670F4" w:rsidRPr="00D247E8" w:rsidRDefault="00592FA8" w:rsidP="009D4E5A">
            <w:pPr>
              <w:pStyle w:val="Default"/>
              <w:jc w:val="center"/>
              <w:rPr>
                <w:sz w:val="18"/>
                <w:szCs w:val="18"/>
                <w:vertAlign w:val="superscript"/>
              </w:rPr>
            </w:pPr>
            <w:r w:rsidRPr="00D247E8">
              <w:rPr>
                <w:sz w:val="18"/>
                <w:szCs w:val="18"/>
                <w:vertAlign w:val="superscript"/>
              </w:rPr>
              <w:t>1 532 116,00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100,00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16,39</w:t>
            </w:r>
          </w:p>
        </w:tc>
        <w:tc>
          <w:tcPr>
            <w:tcW w:w="850" w:type="dxa"/>
          </w:tcPr>
          <w:p w:rsidR="002670F4" w:rsidRPr="00D247E8" w:rsidRDefault="00592FA8" w:rsidP="00592FA8">
            <w:pPr>
              <w:pStyle w:val="Default"/>
              <w:jc w:val="center"/>
              <w:rPr>
                <w:sz w:val="18"/>
                <w:szCs w:val="18"/>
                <w:vertAlign w:val="superscript"/>
              </w:rPr>
            </w:pPr>
            <w:r w:rsidRPr="00D247E8">
              <w:rPr>
                <w:sz w:val="18"/>
                <w:szCs w:val="18"/>
                <w:vertAlign w:val="superscript"/>
              </w:rPr>
              <w:t>1 532 116,00</w:t>
            </w:r>
          </w:p>
        </w:tc>
        <w:tc>
          <w:tcPr>
            <w:tcW w:w="567" w:type="dxa"/>
          </w:tcPr>
          <w:p w:rsidR="002670F4" w:rsidRPr="000269CB" w:rsidRDefault="009D4E5A" w:rsidP="009D4E5A">
            <w:pPr>
              <w:pStyle w:val="Default"/>
              <w:jc w:val="center"/>
              <w:rPr>
                <w:sz w:val="18"/>
                <w:szCs w:val="18"/>
                <w:vertAlign w:val="superscript"/>
              </w:rPr>
            </w:pPr>
            <w:r w:rsidRPr="000269CB">
              <w:rPr>
                <w:sz w:val="18"/>
                <w:szCs w:val="18"/>
                <w:vertAlign w:val="superscript"/>
              </w:rPr>
              <w:t>100,00</w:t>
            </w:r>
          </w:p>
        </w:tc>
        <w:tc>
          <w:tcPr>
            <w:tcW w:w="567" w:type="dxa"/>
          </w:tcPr>
          <w:p w:rsidR="002670F4" w:rsidRPr="000269CB" w:rsidRDefault="009D4E5A" w:rsidP="009D4E5A">
            <w:pPr>
              <w:pStyle w:val="Default"/>
              <w:jc w:val="center"/>
              <w:rPr>
                <w:sz w:val="18"/>
                <w:szCs w:val="18"/>
                <w:vertAlign w:val="superscript"/>
              </w:rPr>
            </w:pPr>
            <w:r w:rsidRPr="000269CB">
              <w:rPr>
                <w:sz w:val="18"/>
                <w:szCs w:val="18"/>
                <w:vertAlign w:val="superscript"/>
              </w:rPr>
              <w:t>15,32</w:t>
            </w:r>
          </w:p>
        </w:tc>
      </w:tr>
      <w:tr w:rsidR="002670F4" w:rsidRPr="009B7F55" w:rsidTr="00FC657E">
        <w:trPr>
          <w:trHeight w:val="746"/>
        </w:trPr>
        <w:tc>
          <w:tcPr>
            <w:tcW w:w="1101" w:type="dxa"/>
          </w:tcPr>
          <w:p w:rsidR="002670F4" w:rsidRDefault="002670F4" w:rsidP="009D4E5A">
            <w:pPr>
              <w:widowControl w:val="0"/>
              <w:spacing w:after="0" w:line="240" w:lineRule="auto"/>
              <w:jc w:val="center"/>
              <w:rPr>
                <w:rFonts w:ascii="Times New Roman" w:eastAsia="Times New Roman" w:hAnsi="Times New Roman" w:cs="Times New Roman"/>
                <w:vertAlign w:val="subscript"/>
              </w:rPr>
            </w:pPr>
            <w:r>
              <w:rPr>
                <w:rFonts w:ascii="Times New Roman" w:eastAsia="Times New Roman" w:hAnsi="Times New Roman" w:cs="Times New Roman"/>
                <w:vertAlign w:val="subscript"/>
              </w:rPr>
              <w:t>Доходы от оказания платных услуг и компенсации затрат государства</w:t>
            </w:r>
          </w:p>
        </w:tc>
        <w:tc>
          <w:tcPr>
            <w:tcW w:w="992" w:type="dxa"/>
          </w:tcPr>
          <w:p w:rsidR="002670F4" w:rsidRDefault="002670F4" w:rsidP="009D4E5A">
            <w:pPr>
              <w:widowControl w:val="0"/>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47 700,00</w:t>
            </w:r>
          </w:p>
        </w:tc>
        <w:tc>
          <w:tcPr>
            <w:tcW w:w="992" w:type="dxa"/>
          </w:tcPr>
          <w:p w:rsidR="002670F4" w:rsidRPr="003A5A5A" w:rsidRDefault="003A5A5A" w:rsidP="009D4E5A">
            <w:pPr>
              <w:pStyle w:val="Default"/>
              <w:jc w:val="center"/>
              <w:rPr>
                <w:sz w:val="18"/>
                <w:szCs w:val="18"/>
                <w:vertAlign w:val="superscript"/>
              </w:rPr>
            </w:pPr>
            <w:r w:rsidRPr="003A5A5A">
              <w:rPr>
                <w:sz w:val="18"/>
                <w:szCs w:val="18"/>
                <w:vertAlign w:val="superscript"/>
              </w:rPr>
              <w:t>57 427,68</w:t>
            </w:r>
          </w:p>
        </w:tc>
        <w:tc>
          <w:tcPr>
            <w:tcW w:w="992" w:type="dxa"/>
          </w:tcPr>
          <w:p w:rsidR="002670F4" w:rsidRPr="00D247E8" w:rsidRDefault="00592FA8" w:rsidP="009D4E5A">
            <w:pPr>
              <w:pStyle w:val="Default"/>
              <w:jc w:val="center"/>
              <w:rPr>
                <w:sz w:val="18"/>
                <w:szCs w:val="18"/>
                <w:vertAlign w:val="superscript"/>
              </w:rPr>
            </w:pPr>
            <w:r w:rsidRPr="00D247E8">
              <w:rPr>
                <w:sz w:val="18"/>
                <w:szCs w:val="18"/>
                <w:vertAlign w:val="superscript"/>
              </w:rPr>
              <w:t>55 330,00</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116,00</w:t>
            </w:r>
          </w:p>
        </w:tc>
        <w:tc>
          <w:tcPr>
            <w:tcW w:w="567" w:type="dxa"/>
          </w:tcPr>
          <w:p w:rsidR="002670F4" w:rsidRPr="00D247E8" w:rsidRDefault="00603648" w:rsidP="009D4E5A">
            <w:pPr>
              <w:pStyle w:val="Default"/>
              <w:jc w:val="center"/>
              <w:rPr>
                <w:sz w:val="18"/>
                <w:szCs w:val="18"/>
                <w:vertAlign w:val="superscript"/>
              </w:rPr>
            </w:pPr>
            <w:r>
              <w:rPr>
                <w:sz w:val="18"/>
                <w:szCs w:val="18"/>
                <w:vertAlign w:val="superscript"/>
              </w:rPr>
              <w:t>96,35</w:t>
            </w:r>
          </w:p>
        </w:tc>
        <w:tc>
          <w:tcPr>
            <w:tcW w:w="567" w:type="dxa"/>
          </w:tcPr>
          <w:p w:rsidR="002670F4" w:rsidRPr="00D247E8" w:rsidRDefault="000763F7" w:rsidP="009D4E5A">
            <w:pPr>
              <w:pStyle w:val="Default"/>
              <w:rPr>
                <w:sz w:val="18"/>
                <w:szCs w:val="18"/>
                <w:vertAlign w:val="superscript"/>
              </w:rPr>
            </w:pPr>
            <w:r>
              <w:rPr>
                <w:sz w:val="18"/>
                <w:szCs w:val="18"/>
                <w:vertAlign w:val="superscript"/>
              </w:rPr>
              <w:t>0,55</w:t>
            </w:r>
          </w:p>
        </w:tc>
        <w:tc>
          <w:tcPr>
            <w:tcW w:w="851" w:type="dxa"/>
          </w:tcPr>
          <w:p w:rsidR="002670F4" w:rsidRPr="00D247E8" w:rsidRDefault="00592FA8" w:rsidP="009D4E5A">
            <w:pPr>
              <w:pStyle w:val="Default"/>
              <w:jc w:val="center"/>
              <w:rPr>
                <w:sz w:val="18"/>
                <w:szCs w:val="18"/>
                <w:vertAlign w:val="superscript"/>
              </w:rPr>
            </w:pPr>
            <w:r w:rsidRPr="00D247E8">
              <w:rPr>
                <w:sz w:val="18"/>
                <w:szCs w:val="18"/>
                <w:vertAlign w:val="superscript"/>
              </w:rPr>
              <w:t>55 330,00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100,00</w:t>
            </w:r>
          </w:p>
        </w:tc>
        <w:tc>
          <w:tcPr>
            <w:tcW w:w="567" w:type="dxa"/>
          </w:tcPr>
          <w:p w:rsidR="002670F4" w:rsidRPr="00D247E8" w:rsidRDefault="009D4E5A" w:rsidP="009D4E5A">
            <w:pPr>
              <w:pStyle w:val="Default"/>
              <w:jc w:val="center"/>
              <w:rPr>
                <w:sz w:val="18"/>
                <w:szCs w:val="18"/>
                <w:vertAlign w:val="superscript"/>
              </w:rPr>
            </w:pPr>
            <w:r>
              <w:rPr>
                <w:sz w:val="18"/>
                <w:szCs w:val="18"/>
                <w:vertAlign w:val="superscript"/>
              </w:rPr>
              <w:t>0,59</w:t>
            </w:r>
          </w:p>
        </w:tc>
        <w:tc>
          <w:tcPr>
            <w:tcW w:w="850" w:type="dxa"/>
          </w:tcPr>
          <w:p w:rsidR="002670F4" w:rsidRPr="00D247E8" w:rsidRDefault="00592FA8" w:rsidP="009D4E5A">
            <w:pPr>
              <w:pStyle w:val="Default"/>
              <w:jc w:val="center"/>
              <w:rPr>
                <w:sz w:val="18"/>
                <w:szCs w:val="18"/>
                <w:vertAlign w:val="superscript"/>
              </w:rPr>
            </w:pPr>
            <w:r w:rsidRPr="00D247E8">
              <w:rPr>
                <w:sz w:val="18"/>
                <w:szCs w:val="18"/>
                <w:vertAlign w:val="superscript"/>
              </w:rPr>
              <w:t>55 330,00</w:t>
            </w:r>
          </w:p>
        </w:tc>
        <w:tc>
          <w:tcPr>
            <w:tcW w:w="567" w:type="dxa"/>
          </w:tcPr>
          <w:p w:rsidR="002670F4" w:rsidRPr="000269CB" w:rsidRDefault="009D4E5A" w:rsidP="009D4E5A">
            <w:pPr>
              <w:pStyle w:val="Default"/>
              <w:jc w:val="center"/>
              <w:rPr>
                <w:sz w:val="18"/>
                <w:szCs w:val="18"/>
                <w:vertAlign w:val="superscript"/>
              </w:rPr>
            </w:pPr>
            <w:r w:rsidRPr="000269CB">
              <w:rPr>
                <w:sz w:val="18"/>
                <w:szCs w:val="18"/>
                <w:vertAlign w:val="superscript"/>
              </w:rPr>
              <w:t>100,00</w:t>
            </w:r>
          </w:p>
        </w:tc>
        <w:tc>
          <w:tcPr>
            <w:tcW w:w="567" w:type="dxa"/>
          </w:tcPr>
          <w:p w:rsidR="002670F4" w:rsidRPr="000269CB" w:rsidRDefault="009D4E5A" w:rsidP="009D4E5A">
            <w:pPr>
              <w:pStyle w:val="Default"/>
              <w:jc w:val="center"/>
              <w:rPr>
                <w:sz w:val="18"/>
                <w:szCs w:val="18"/>
                <w:vertAlign w:val="superscript"/>
              </w:rPr>
            </w:pPr>
            <w:r w:rsidRPr="000269CB">
              <w:rPr>
                <w:sz w:val="18"/>
                <w:szCs w:val="18"/>
                <w:vertAlign w:val="superscript"/>
              </w:rPr>
              <w:t>0,56</w:t>
            </w:r>
          </w:p>
        </w:tc>
      </w:tr>
      <w:tr w:rsidR="002670F4" w:rsidRPr="009B7F55" w:rsidTr="00FC657E">
        <w:trPr>
          <w:trHeight w:val="746"/>
        </w:trPr>
        <w:tc>
          <w:tcPr>
            <w:tcW w:w="1101" w:type="dxa"/>
          </w:tcPr>
          <w:p w:rsidR="002670F4" w:rsidRDefault="002670F4" w:rsidP="009D4E5A">
            <w:pPr>
              <w:widowControl w:val="0"/>
              <w:spacing w:after="0" w:line="240" w:lineRule="auto"/>
              <w:jc w:val="center"/>
              <w:rPr>
                <w:rFonts w:ascii="Times New Roman" w:hAnsi="Times New Roman" w:cs="Times New Roman"/>
                <w:b/>
                <w:i/>
                <w:vertAlign w:val="subscript"/>
              </w:rPr>
            </w:pPr>
            <w:r>
              <w:rPr>
                <w:rFonts w:ascii="Times New Roman" w:eastAsia="Times New Roman" w:hAnsi="Times New Roman" w:cs="Times New Roman"/>
                <w:b/>
                <w:i/>
                <w:vertAlign w:val="subscript"/>
              </w:rPr>
              <w:t>Безвозмездные поступления</w:t>
            </w:r>
          </w:p>
        </w:tc>
        <w:tc>
          <w:tcPr>
            <w:tcW w:w="992" w:type="dxa"/>
          </w:tcPr>
          <w:p w:rsidR="002670F4" w:rsidRDefault="002670F4" w:rsidP="009D4E5A">
            <w:pPr>
              <w:widowControl w:val="0"/>
              <w:spacing w:after="0" w:line="240" w:lineRule="auto"/>
              <w:jc w:val="center"/>
              <w:rPr>
                <w:rFonts w:ascii="Times New Roman" w:hAnsi="Times New Roman" w:cs="Times New Roman"/>
                <w:b/>
                <w:vertAlign w:val="superscript"/>
              </w:rPr>
            </w:pPr>
            <w:r>
              <w:rPr>
                <w:rFonts w:ascii="Times New Roman" w:hAnsi="Times New Roman" w:cs="Times New Roman"/>
                <w:b/>
                <w:vertAlign w:val="superscript"/>
              </w:rPr>
              <w:t>4 280 559,95</w:t>
            </w:r>
          </w:p>
        </w:tc>
        <w:tc>
          <w:tcPr>
            <w:tcW w:w="992" w:type="dxa"/>
          </w:tcPr>
          <w:p w:rsidR="002670F4" w:rsidRPr="002263FA" w:rsidRDefault="003A5A5A" w:rsidP="009D4E5A">
            <w:pPr>
              <w:pStyle w:val="Default"/>
              <w:jc w:val="center"/>
              <w:rPr>
                <w:b/>
                <w:sz w:val="18"/>
                <w:szCs w:val="18"/>
                <w:vertAlign w:val="superscript"/>
              </w:rPr>
            </w:pPr>
            <w:r>
              <w:rPr>
                <w:b/>
                <w:sz w:val="18"/>
                <w:szCs w:val="18"/>
                <w:vertAlign w:val="superscript"/>
              </w:rPr>
              <w:t>9 313 220,13</w:t>
            </w:r>
          </w:p>
        </w:tc>
        <w:tc>
          <w:tcPr>
            <w:tcW w:w="992" w:type="dxa"/>
          </w:tcPr>
          <w:p w:rsidR="002670F4" w:rsidRPr="001417F7" w:rsidRDefault="00592FA8" w:rsidP="009D4E5A">
            <w:pPr>
              <w:pStyle w:val="Default"/>
              <w:jc w:val="center"/>
              <w:rPr>
                <w:b/>
                <w:sz w:val="18"/>
                <w:szCs w:val="18"/>
                <w:vertAlign w:val="superscript"/>
              </w:rPr>
            </w:pPr>
            <w:r>
              <w:rPr>
                <w:b/>
                <w:sz w:val="18"/>
                <w:szCs w:val="18"/>
                <w:vertAlign w:val="superscript"/>
              </w:rPr>
              <w:t>4 413 479,65</w:t>
            </w:r>
          </w:p>
        </w:tc>
        <w:tc>
          <w:tcPr>
            <w:tcW w:w="567" w:type="dxa"/>
          </w:tcPr>
          <w:p w:rsidR="002670F4" w:rsidRDefault="00603648" w:rsidP="009D4E5A">
            <w:pPr>
              <w:pStyle w:val="Default"/>
              <w:jc w:val="center"/>
              <w:rPr>
                <w:b/>
                <w:sz w:val="18"/>
                <w:szCs w:val="18"/>
                <w:vertAlign w:val="superscript"/>
              </w:rPr>
            </w:pPr>
            <w:r>
              <w:rPr>
                <w:b/>
                <w:sz w:val="18"/>
                <w:szCs w:val="18"/>
                <w:vertAlign w:val="superscript"/>
              </w:rPr>
              <w:t>103,11</w:t>
            </w:r>
          </w:p>
        </w:tc>
        <w:tc>
          <w:tcPr>
            <w:tcW w:w="567" w:type="dxa"/>
          </w:tcPr>
          <w:p w:rsidR="002670F4" w:rsidRDefault="00603648" w:rsidP="009D4E5A">
            <w:pPr>
              <w:pStyle w:val="Default"/>
              <w:jc w:val="center"/>
              <w:rPr>
                <w:b/>
                <w:sz w:val="18"/>
                <w:szCs w:val="18"/>
                <w:vertAlign w:val="superscript"/>
              </w:rPr>
            </w:pPr>
            <w:r>
              <w:rPr>
                <w:b/>
                <w:sz w:val="18"/>
                <w:szCs w:val="18"/>
                <w:vertAlign w:val="superscript"/>
              </w:rPr>
              <w:t>47,39</w:t>
            </w:r>
          </w:p>
        </w:tc>
        <w:tc>
          <w:tcPr>
            <w:tcW w:w="567" w:type="dxa"/>
          </w:tcPr>
          <w:p w:rsidR="002670F4" w:rsidRDefault="000763F7" w:rsidP="009D4E5A">
            <w:pPr>
              <w:pStyle w:val="Default"/>
              <w:rPr>
                <w:b/>
                <w:sz w:val="18"/>
                <w:szCs w:val="18"/>
                <w:vertAlign w:val="superscript"/>
              </w:rPr>
            </w:pPr>
            <w:r>
              <w:rPr>
                <w:b/>
                <w:sz w:val="18"/>
                <w:szCs w:val="18"/>
                <w:vertAlign w:val="superscript"/>
              </w:rPr>
              <w:t>43,83</w:t>
            </w:r>
          </w:p>
        </w:tc>
        <w:tc>
          <w:tcPr>
            <w:tcW w:w="851" w:type="dxa"/>
          </w:tcPr>
          <w:p w:rsidR="002670F4" w:rsidRPr="001417F7" w:rsidRDefault="00592FA8" w:rsidP="009D4E5A">
            <w:pPr>
              <w:pStyle w:val="Default"/>
              <w:jc w:val="center"/>
              <w:rPr>
                <w:b/>
                <w:sz w:val="18"/>
                <w:szCs w:val="18"/>
                <w:vertAlign w:val="superscript"/>
              </w:rPr>
            </w:pPr>
            <w:r>
              <w:rPr>
                <w:b/>
                <w:sz w:val="18"/>
                <w:szCs w:val="18"/>
                <w:vertAlign w:val="superscript"/>
              </w:rPr>
              <w:t>3 636 716,42</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82,40</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38,90</w:t>
            </w:r>
          </w:p>
        </w:tc>
        <w:tc>
          <w:tcPr>
            <w:tcW w:w="850" w:type="dxa"/>
          </w:tcPr>
          <w:p w:rsidR="002670F4" w:rsidRPr="001417F7" w:rsidRDefault="00592FA8" w:rsidP="009D4E5A">
            <w:pPr>
              <w:pStyle w:val="Default"/>
              <w:jc w:val="center"/>
              <w:rPr>
                <w:b/>
                <w:sz w:val="18"/>
                <w:szCs w:val="18"/>
                <w:vertAlign w:val="superscript"/>
              </w:rPr>
            </w:pPr>
            <w:r>
              <w:rPr>
                <w:b/>
                <w:sz w:val="18"/>
                <w:szCs w:val="18"/>
                <w:vertAlign w:val="superscript"/>
              </w:rPr>
              <w:t>3 655 812,17</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100,53</w:t>
            </w:r>
          </w:p>
        </w:tc>
        <w:tc>
          <w:tcPr>
            <w:tcW w:w="567" w:type="dxa"/>
          </w:tcPr>
          <w:p w:rsidR="002670F4" w:rsidRDefault="009D4E5A" w:rsidP="009D4E5A">
            <w:pPr>
              <w:pStyle w:val="Default"/>
              <w:jc w:val="center"/>
              <w:rPr>
                <w:b/>
                <w:sz w:val="18"/>
                <w:szCs w:val="18"/>
                <w:vertAlign w:val="superscript"/>
              </w:rPr>
            </w:pPr>
            <w:r>
              <w:rPr>
                <w:b/>
                <w:sz w:val="18"/>
                <w:szCs w:val="18"/>
                <w:vertAlign w:val="superscript"/>
              </w:rPr>
              <w:t>36,56</w:t>
            </w:r>
          </w:p>
        </w:tc>
      </w:tr>
      <w:tr w:rsidR="00592FA8" w:rsidRPr="009B7F55" w:rsidTr="00FC657E">
        <w:trPr>
          <w:trHeight w:val="746"/>
        </w:trPr>
        <w:tc>
          <w:tcPr>
            <w:tcW w:w="1101" w:type="dxa"/>
          </w:tcPr>
          <w:p w:rsidR="00592FA8" w:rsidRDefault="00592FA8" w:rsidP="009D4E5A">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vertAlign w:val="subscript"/>
              </w:rPr>
              <w:t>Дотации бюджетам бюджетной системы Российской Федерации</w:t>
            </w:r>
          </w:p>
        </w:tc>
        <w:tc>
          <w:tcPr>
            <w:tcW w:w="992" w:type="dxa"/>
          </w:tcPr>
          <w:p w:rsidR="00592FA8" w:rsidRDefault="00592FA8" w:rsidP="009D4E5A">
            <w:pPr>
              <w:widowControl w:val="0"/>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4 080 706,95</w:t>
            </w:r>
          </w:p>
        </w:tc>
        <w:tc>
          <w:tcPr>
            <w:tcW w:w="992" w:type="dxa"/>
          </w:tcPr>
          <w:p w:rsidR="00592FA8" w:rsidRPr="003A5A5A" w:rsidRDefault="00592FA8" w:rsidP="009D4E5A">
            <w:pPr>
              <w:pStyle w:val="Default"/>
              <w:jc w:val="center"/>
              <w:rPr>
                <w:sz w:val="18"/>
                <w:szCs w:val="18"/>
                <w:vertAlign w:val="superscript"/>
              </w:rPr>
            </w:pPr>
            <w:r w:rsidRPr="003A5A5A">
              <w:rPr>
                <w:sz w:val="18"/>
                <w:szCs w:val="18"/>
                <w:vertAlign w:val="superscript"/>
              </w:rPr>
              <w:t>4 080 706,95</w:t>
            </w:r>
          </w:p>
        </w:tc>
        <w:tc>
          <w:tcPr>
            <w:tcW w:w="992" w:type="dxa"/>
          </w:tcPr>
          <w:p w:rsidR="00592FA8" w:rsidRPr="00592FA8" w:rsidRDefault="00592FA8" w:rsidP="009D4E5A">
            <w:pPr>
              <w:pStyle w:val="Default"/>
              <w:jc w:val="center"/>
              <w:rPr>
                <w:sz w:val="18"/>
                <w:szCs w:val="18"/>
                <w:vertAlign w:val="superscript"/>
              </w:rPr>
            </w:pPr>
            <w:r w:rsidRPr="00592FA8">
              <w:rPr>
                <w:sz w:val="18"/>
                <w:szCs w:val="18"/>
                <w:vertAlign w:val="superscript"/>
              </w:rPr>
              <w:t>4 413 479,65</w:t>
            </w:r>
          </w:p>
        </w:tc>
        <w:tc>
          <w:tcPr>
            <w:tcW w:w="567" w:type="dxa"/>
          </w:tcPr>
          <w:p w:rsidR="00592FA8" w:rsidRPr="00592FA8" w:rsidRDefault="00603648" w:rsidP="009D4E5A">
            <w:pPr>
              <w:pStyle w:val="Default"/>
              <w:jc w:val="center"/>
              <w:rPr>
                <w:sz w:val="18"/>
                <w:szCs w:val="18"/>
                <w:vertAlign w:val="superscript"/>
              </w:rPr>
            </w:pPr>
            <w:r>
              <w:rPr>
                <w:sz w:val="18"/>
                <w:szCs w:val="18"/>
                <w:vertAlign w:val="superscript"/>
              </w:rPr>
              <w:t>108,15</w:t>
            </w:r>
          </w:p>
        </w:tc>
        <w:tc>
          <w:tcPr>
            <w:tcW w:w="567" w:type="dxa"/>
          </w:tcPr>
          <w:p w:rsidR="00592FA8" w:rsidRPr="00592FA8" w:rsidRDefault="00603648" w:rsidP="009D4E5A">
            <w:pPr>
              <w:pStyle w:val="Default"/>
              <w:jc w:val="center"/>
              <w:rPr>
                <w:sz w:val="18"/>
                <w:szCs w:val="18"/>
                <w:vertAlign w:val="superscript"/>
              </w:rPr>
            </w:pPr>
            <w:r>
              <w:rPr>
                <w:sz w:val="18"/>
                <w:szCs w:val="18"/>
                <w:vertAlign w:val="superscript"/>
              </w:rPr>
              <w:t>108,16</w:t>
            </w:r>
          </w:p>
        </w:tc>
        <w:tc>
          <w:tcPr>
            <w:tcW w:w="567" w:type="dxa"/>
          </w:tcPr>
          <w:p w:rsidR="00592FA8" w:rsidRPr="00592FA8" w:rsidRDefault="000763F7" w:rsidP="009D4E5A">
            <w:pPr>
              <w:pStyle w:val="Default"/>
              <w:rPr>
                <w:sz w:val="18"/>
                <w:szCs w:val="18"/>
                <w:vertAlign w:val="superscript"/>
              </w:rPr>
            </w:pPr>
            <w:r>
              <w:rPr>
                <w:sz w:val="18"/>
                <w:szCs w:val="18"/>
                <w:vertAlign w:val="superscript"/>
              </w:rPr>
              <w:t>43,83</w:t>
            </w:r>
          </w:p>
        </w:tc>
        <w:tc>
          <w:tcPr>
            <w:tcW w:w="851" w:type="dxa"/>
          </w:tcPr>
          <w:p w:rsidR="00592FA8" w:rsidRPr="00592FA8" w:rsidRDefault="00592FA8" w:rsidP="009D4E5A">
            <w:pPr>
              <w:pStyle w:val="Default"/>
              <w:jc w:val="center"/>
              <w:rPr>
                <w:sz w:val="18"/>
                <w:szCs w:val="18"/>
                <w:vertAlign w:val="superscript"/>
              </w:rPr>
            </w:pPr>
            <w:r w:rsidRPr="00592FA8">
              <w:rPr>
                <w:sz w:val="18"/>
                <w:szCs w:val="18"/>
                <w:vertAlign w:val="superscript"/>
              </w:rPr>
              <w:t>3 636 716,42</w:t>
            </w:r>
          </w:p>
        </w:tc>
        <w:tc>
          <w:tcPr>
            <w:tcW w:w="567" w:type="dxa"/>
          </w:tcPr>
          <w:p w:rsidR="00592FA8" w:rsidRPr="00592FA8" w:rsidRDefault="009D4E5A" w:rsidP="009D4E5A">
            <w:pPr>
              <w:pStyle w:val="Default"/>
              <w:jc w:val="center"/>
              <w:rPr>
                <w:sz w:val="18"/>
                <w:szCs w:val="18"/>
                <w:vertAlign w:val="superscript"/>
              </w:rPr>
            </w:pPr>
            <w:r>
              <w:rPr>
                <w:sz w:val="18"/>
                <w:szCs w:val="18"/>
                <w:vertAlign w:val="superscript"/>
              </w:rPr>
              <w:t>82,40</w:t>
            </w:r>
          </w:p>
        </w:tc>
        <w:tc>
          <w:tcPr>
            <w:tcW w:w="567" w:type="dxa"/>
          </w:tcPr>
          <w:p w:rsidR="00592FA8" w:rsidRPr="00592FA8" w:rsidRDefault="009D4E5A" w:rsidP="009D4E5A">
            <w:pPr>
              <w:pStyle w:val="Default"/>
              <w:jc w:val="center"/>
              <w:rPr>
                <w:sz w:val="18"/>
                <w:szCs w:val="18"/>
                <w:vertAlign w:val="superscript"/>
              </w:rPr>
            </w:pPr>
            <w:r>
              <w:rPr>
                <w:sz w:val="18"/>
                <w:szCs w:val="18"/>
                <w:vertAlign w:val="superscript"/>
              </w:rPr>
              <w:t>38,90</w:t>
            </w:r>
          </w:p>
        </w:tc>
        <w:tc>
          <w:tcPr>
            <w:tcW w:w="850" w:type="dxa"/>
          </w:tcPr>
          <w:p w:rsidR="00592FA8" w:rsidRPr="00592FA8" w:rsidRDefault="00592FA8" w:rsidP="009D4E5A">
            <w:pPr>
              <w:pStyle w:val="Default"/>
              <w:jc w:val="center"/>
              <w:rPr>
                <w:sz w:val="18"/>
                <w:szCs w:val="18"/>
                <w:vertAlign w:val="superscript"/>
              </w:rPr>
            </w:pPr>
            <w:r w:rsidRPr="00592FA8">
              <w:rPr>
                <w:sz w:val="18"/>
                <w:szCs w:val="18"/>
                <w:vertAlign w:val="superscript"/>
              </w:rPr>
              <w:t>3 655 812,17</w:t>
            </w:r>
          </w:p>
        </w:tc>
        <w:tc>
          <w:tcPr>
            <w:tcW w:w="567" w:type="dxa"/>
          </w:tcPr>
          <w:p w:rsidR="00592FA8" w:rsidRPr="003A5A5A" w:rsidRDefault="009D4E5A" w:rsidP="009D4E5A">
            <w:pPr>
              <w:pStyle w:val="Default"/>
              <w:jc w:val="center"/>
              <w:rPr>
                <w:sz w:val="18"/>
                <w:szCs w:val="18"/>
                <w:vertAlign w:val="superscript"/>
              </w:rPr>
            </w:pPr>
            <w:r>
              <w:rPr>
                <w:sz w:val="18"/>
                <w:szCs w:val="18"/>
                <w:vertAlign w:val="superscript"/>
              </w:rPr>
              <w:t>100,53</w:t>
            </w:r>
          </w:p>
        </w:tc>
        <w:tc>
          <w:tcPr>
            <w:tcW w:w="567" w:type="dxa"/>
          </w:tcPr>
          <w:p w:rsidR="00592FA8" w:rsidRPr="003A5A5A" w:rsidRDefault="009D4E5A" w:rsidP="009D4E5A">
            <w:pPr>
              <w:pStyle w:val="Default"/>
              <w:jc w:val="center"/>
              <w:rPr>
                <w:sz w:val="18"/>
                <w:szCs w:val="18"/>
                <w:vertAlign w:val="superscript"/>
              </w:rPr>
            </w:pPr>
            <w:r>
              <w:rPr>
                <w:sz w:val="18"/>
                <w:szCs w:val="18"/>
                <w:vertAlign w:val="superscript"/>
              </w:rPr>
              <w:t>36,56</w:t>
            </w:r>
          </w:p>
        </w:tc>
      </w:tr>
      <w:tr w:rsidR="00592FA8" w:rsidRPr="009B7F55" w:rsidTr="00FC657E">
        <w:trPr>
          <w:trHeight w:val="746"/>
        </w:trPr>
        <w:tc>
          <w:tcPr>
            <w:tcW w:w="1101" w:type="dxa"/>
          </w:tcPr>
          <w:p w:rsidR="00592FA8" w:rsidRDefault="00592FA8" w:rsidP="009D4E5A">
            <w:pPr>
              <w:widowControl w:val="0"/>
              <w:spacing w:after="0" w:line="240" w:lineRule="auto"/>
              <w:jc w:val="center"/>
              <w:rPr>
                <w:rFonts w:ascii="Times New Roman" w:eastAsia="Times New Roman" w:hAnsi="Times New Roman" w:cs="Times New Roman"/>
                <w:vertAlign w:val="subscript"/>
              </w:rPr>
            </w:pPr>
            <w:r>
              <w:rPr>
                <w:rFonts w:ascii="Times New Roman" w:eastAsia="Times New Roman" w:hAnsi="Times New Roman" w:cs="Times New Roman"/>
                <w:vertAlign w:val="subscript"/>
              </w:rPr>
              <w:t>Субсидии</w:t>
            </w:r>
          </w:p>
        </w:tc>
        <w:tc>
          <w:tcPr>
            <w:tcW w:w="992" w:type="dxa"/>
          </w:tcPr>
          <w:p w:rsidR="00592FA8" w:rsidRDefault="00592FA8" w:rsidP="009D4E5A">
            <w:pPr>
              <w:rPr>
                <w:rFonts w:ascii="Times New Roman" w:hAnsi="Times New Roman" w:cs="Times New Roman"/>
                <w:vertAlign w:val="subscript"/>
              </w:rPr>
            </w:pPr>
            <w:r>
              <w:rPr>
                <w:rFonts w:ascii="Times New Roman" w:hAnsi="Times New Roman" w:cs="Times New Roman"/>
                <w:vertAlign w:val="subscript"/>
              </w:rPr>
              <w:t>-</w:t>
            </w:r>
          </w:p>
        </w:tc>
        <w:tc>
          <w:tcPr>
            <w:tcW w:w="992" w:type="dxa"/>
          </w:tcPr>
          <w:p w:rsidR="00592FA8" w:rsidRPr="003A5A5A" w:rsidRDefault="00592FA8" w:rsidP="009D4E5A">
            <w:pPr>
              <w:pStyle w:val="Default"/>
              <w:jc w:val="center"/>
              <w:rPr>
                <w:sz w:val="18"/>
                <w:szCs w:val="18"/>
                <w:vertAlign w:val="superscript"/>
              </w:rPr>
            </w:pPr>
            <w:r w:rsidRPr="003A5A5A">
              <w:rPr>
                <w:sz w:val="18"/>
                <w:szCs w:val="18"/>
                <w:vertAlign w:val="superscript"/>
              </w:rPr>
              <w:t>2 815 000,00</w:t>
            </w:r>
          </w:p>
        </w:tc>
        <w:tc>
          <w:tcPr>
            <w:tcW w:w="992"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rPr>
                <w:sz w:val="18"/>
                <w:szCs w:val="18"/>
                <w:vertAlign w:val="superscript"/>
              </w:rPr>
            </w:pPr>
            <w:r>
              <w:rPr>
                <w:sz w:val="18"/>
                <w:szCs w:val="18"/>
                <w:vertAlign w:val="superscript"/>
              </w:rPr>
              <w:t>-</w:t>
            </w:r>
          </w:p>
        </w:tc>
        <w:tc>
          <w:tcPr>
            <w:tcW w:w="851"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850"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r>
      <w:tr w:rsidR="00592FA8" w:rsidRPr="009B7F55" w:rsidTr="00FC657E">
        <w:trPr>
          <w:trHeight w:val="746"/>
        </w:trPr>
        <w:tc>
          <w:tcPr>
            <w:tcW w:w="1101" w:type="dxa"/>
          </w:tcPr>
          <w:p w:rsidR="00592FA8" w:rsidRDefault="00592FA8" w:rsidP="009D4E5A">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vertAlign w:val="subscript"/>
              </w:rPr>
              <w:t>Субвенции бюджетам бюджетной системы Российской Федерации</w:t>
            </w:r>
          </w:p>
        </w:tc>
        <w:tc>
          <w:tcPr>
            <w:tcW w:w="992" w:type="dxa"/>
          </w:tcPr>
          <w:p w:rsidR="00592FA8" w:rsidRDefault="00592FA8" w:rsidP="009D4E5A">
            <w:pPr>
              <w:widowControl w:val="0"/>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199 853,00</w:t>
            </w:r>
          </w:p>
        </w:tc>
        <w:tc>
          <w:tcPr>
            <w:tcW w:w="992" w:type="dxa"/>
          </w:tcPr>
          <w:p w:rsidR="00592FA8" w:rsidRPr="003A5A5A" w:rsidRDefault="00592FA8" w:rsidP="009D4E5A">
            <w:pPr>
              <w:pStyle w:val="Default"/>
              <w:jc w:val="center"/>
              <w:rPr>
                <w:sz w:val="18"/>
                <w:szCs w:val="18"/>
                <w:vertAlign w:val="superscript"/>
              </w:rPr>
            </w:pPr>
            <w:r w:rsidRPr="003A5A5A">
              <w:rPr>
                <w:sz w:val="18"/>
                <w:szCs w:val="18"/>
                <w:vertAlign w:val="superscript"/>
              </w:rPr>
              <w:t>199 853,00</w:t>
            </w:r>
          </w:p>
        </w:tc>
        <w:tc>
          <w:tcPr>
            <w:tcW w:w="992"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rPr>
                <w:sz w:val="18"/>
                <w:szCs w:val="18"/>
                <w:vertAlign w:val="superscript"/>
              </w:rPr>
            </w:pPr>
            <w:r>
              <w:rPr>
                <w:sz w:val="18"/>
                <w:szCs w:val="18"/>
                <w:vertAlign w:val="superscript"/>
              </w:rPr>
              <w:t>-</w:t>
            </w:r>
          </w:p>
        </w:tc>
        <w:tc>
          <w:tcPr>
            <w:tcW w:w="851"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850"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r>
      <w:tr w:rsidR="00592FA8" w:rsidRPr="009B7F55" w:rsidTr="00FC657E">
        <w:trPr>
          <w:trHeight w:val="746"/>
        </w:trPr>
        <w:tc>
          <w:tcPr>
            <w:tcW w:w="1101" w:type="dxa"/>
          </w:tcPr>
          <w:p w:rsidR="00592FA8" w:rsidRDefault="00592FA8" w:rsidP="009D4E5A">
            <w:pPr>
              <w:widowControl w:val="0"/>
              <w:spacing w:after="0" w:line="240" w:lineRule="auto"/>
              <w:jc w:val="center"/>
              <w:rPr>
                <w:rFonts w:ascii="Times New Roman" w:hAnsi="Times New Roman" w:cs="Times New Roman"/>
                <w:vertAlign w:val="subscript"/>
              </w:rPr>
            </w:pPr>
            <w:r>
              <w:rPr>
                <w:rFonts w:ascii="Times New Roman" w:eastAsia="Times New Roman" w:hAnsi="Times New Roman" w:cs="Times New Roman"/>
                <w:vertAlign w:val="subscript"/>
              </w:rPr>
              <w:t>Иные межбюджетные трансферты</w:t>
            </w:r>
          </w:p>
        </w:tc>
        <w:tc>
          <w:tcPr>
            <w:tcW w:w="992" w:type="dxa"/>
          </w:tcPr>
          <w:p w:rsidR="00592FA8" w:rsidRDefault="00592FA8" w:rsidP="009D4E5A">
            <w:pPr>
              <w:rPr>
                <w:rFonts w:ascii="Times New Roman" w:hAnsi="Times New Roman" w:cs="Times New Roman"/>
                <w:vertAlign w:val="subscript"/>
              </w:rPr>
            </w:pPr>
            <w:r>
              <w:rPr>
                <w:rFonts w:ascii="Times New Roman" w:hAnsi="Times New Roman" w:cs="Times New Roman"/>
                <w:vertAlign w:val="subscript"/>
              </w:rPr>
              <w:t>-</w:t>
            </w:r>
          </w:p>
        </w:tc>
        <w:tc>
          <w:tcPr>
            <w:tcW w:w="992" w:type="dxa"/>
          </w:tcPr>
          <w:p w:rsidR="00592FA8" w:rsidRPr="003A5A5A" w:rsidRDefault="00592FA8" w:rsidP="009D4E5A">
            <w:pPr>
              <w:pStyle w:val="Default"/>
              <w:jc w:val="center"/>
              <w:rPr>
                <w:sz w:val="18"/>
                <w:szCs w:val="18"/>
                <w:vertAlign w:val="superscript"/>
              </w:rPr>
            </w:pPr>
            <w:r w:rsidRPr="003A5A5A">
              <w:rPr>
                <w:sz w:val="18"/>
                <w:szCs w:val="18"/>
                <w:vertAlign w:val="superscript"/>
              </w:rPr>
              <w:t>2 217 660,18</w:t>
            </w:r>
          </w:p>
        </w:tc>
        <w:tc>
          <w:tcPr>
            <w:tcW w:w="992"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rPr>
                <w:sz w:val="18"/>
                <w:szCs w:val="18"/>
                <w:vertAlign w:val="superscript"/>
              </w:rPr>
            </w:pPr>
            <w:r>
              <w:rPr>
                <w:sz w:val="18"/>
                <w:szCs w:val="18"/>
                <w:vertAlign w:val="superscript"/>
              </w:rPr>
              <w:t>-</w:t>
            </w:r>
          </w:p>
        </w:tc>
        <w:tc>
          <w:tcPr>
            <w:tcW w:w="851"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850"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c>
          <w:tcPr>
            <w:tcW w:w="567" w:type="dxa"/>
          </w:tcPr>
          <w:p w:rsidR="00592FA8" w:rsidRPr="003A5A5A" w:rsidRDefault="00603648" w:rsidP="009D4E5A">
            <w:pPr>
              <w:pStyle w:val="Default"/>
              <w:jc w:val="center"/>
              <w:rPr>
                <w:sz w:val="18"/>
                <w:szCs w:val="18"/>
                <w:vertAlign w:val="superscript"/>
              </w:rPr>
            </w:pPr>
            <w:r>
              <w:rPr>
                <w:sz w:val="18"/>
                <w:szCs w:val="18"/>
                <w:vertAlign w:val="superscript"/>
              </w:rPr>
              <w:t>-</w:t>
            </w:r>
          </w:p>
        </w:tc>
      </w:tr>
      <w:tr w:rsidR="00592FA8" w:rsidRPr="009B7F55" w:rsidTr="00FC657E">
        <w:trPr>
          <w:trHeight w:val="746"/>
        </w:trPr>
        <w:tc>
          <w:tcPr>
            <w:tcW w:w="1101" w:type="dxa"/>
          </w:tcPr>
          <w:p w:rsidR="00592FA8" w:rsidRDefault="00592FA8" w:rsidP="009D4E5A">
            <w:pPr>
              <w:widowControl w:val="0"/>
              <w:spacing w:after="0" w:line="240" w:lineRule="auto"/>
              <w:jc w:val="center"/>
              <w:rPr>
                <w:rFonts w:ascii="Times New Roman" w:hAnsi="Times New Roman" w:cs="Times New Roman"/>
                <w:b/>
                <w:vertAlign w:val="subscript"/>
              </w:rPr>
            </w:pPr>
            <w:r>
              <w:rPr>
                <w:rFonts w:ascii="Times New Roman" w:eastAsia="Times New Roman" w:hAnsi="Times New Roman" w:cs="Times New Roman"/>
                <w:b/>
                <w:vertAlign w:val="subscript"/>
              </w:rPr>
              <w:t>Всего доходов</w:t>
            </w:r>
          </w:p>
        </w:tc>
        <w:tc>
          <w:tcPr>
            <w:tcW w:w="992" w:type="dxa"/>
          </w:tcPr>
          <w:p w:rsidR="00592FA8" w:rsidRDefault="00592FA8" w:rsidP="009D4E5A">
            <w:pPr>
              <w:widowControl w:val="0"/>
              <w:spacing w:after="0" w:line="240" w:lineRule="auto"/>
              <w:jc w:val="center"/>
              <w:rPr>
                <w:rFonts w:ascii="Times New Roman" w:hAnsi="Times New Roman" w:cs="Times New Roman"/>
                <w:b/>
                <w:vertAlign w:val="superscript"/>
              </w:rPr>
            </w:pPr>
            <w:r>
              <w:rPr>
                <w:rFonts w:ascii="Times New Roman" w:hAnsi="Times New Roman" w:cs="Times New Roman"/>
                <w:b/>
                <w:vertAlign w:val="superscript"/>
              </w:rPr>
              <w:t>8 414 989,95</w:t>
            </w:r>
          </w:p>
        </w:tc>
        <w:tc>
          <w:tcPr>
            <w:tcW w:w="992" w:type="dxa"/>
          </w:tcPr>
          <w:p w:rsidR="00592FA8" w:rsidRPr="002263FA" w:rsidRDefault="00592FA8" w:rsidP="009D4E5A">
            <w:pPr>
              <w:pStyle w:val="Default"/>
              <w:jc w:val="center"/>
              <w:rPr>
                <w:b/>
                <w:sz w:val="18"/>
                <w:szCs w:val="18"/>
                <w:vertAlign w:val="superscript"/>
              </w:rPr>
            </w:pPr>
            <w:r>
              <w:rPr>
                <w:b/>
                <w:sz w:val="18"/>
                <w:szCs w:val="18"/>
                <w:vertAlign w:val="superscript"/>
              </w:rPr>
              <w:t>13 457 377,81</w:t>
            </w:r>
          </w:p>
        </w:tc>
        <w:tc>
          <w:tcPr>
            <w:tcW w:w="992" w:type="dxa"/>
          </w:tcPr>
          <w:p w:rsidR="00592FA8" w:rsidRPr="001417F7" w:rsidRDefault="007378EA" w:rsidP="009D4E5A">
            <w:pPr>
              <w:pStyle w:val="Default"/>
              <w:jc w:val="center"/>
              <w:rPr>
                <w:b/>
                <w:sz w:val="18"/>
                <w:szCs w:val="18"/>
                <w:vertAlign w:val="superscript"/>
              </w:rPr>
            </w:pPr>
            <w:r>
              <w:rPr>
                <w:b/>
                <w:sz w:val="18"/>
                <w:szCs w:val="18"/>
                <w:vertAlign w:val="superscript"/>
              </w:rPr>
              <w:t>10 070 061,65</w:t>
            </w:r>
          </w:p>
        </w:tc>
        <w:tc>
          <w:tcPr>
            <w:tcW w:w="567" w:type="dxa"/>
          </w:tcPr>
          <w:p w:rsidR="00592FA8" w:rsidRDefault="00603648" w:rsidP="009D4E5A">
            <w:pPr>
              <w:pStyle w:val="Default"/>
              <w:jc w:val="center"/>
              <w:rPr>
                <w:b/>
                <w:sz w:val="18"/>
                <w:szCs w:val="18"/>
                <w:vertAlign w:val="superscript"/>
              </w:rPr>
            </w:pPr>
            <w:r>
              <w:rPr>
                <w:b/>
                <w:sz w:val="18"/>
                <w:szCs w:val="18"/>
                <w:vertAlign w:val="superscript"/>
              </w:rPr>
              <w:t>119,67</w:t>
            </w:r>
          </w:p>
        </w:tc>
        <w:tc>
          <w:tcPr>
            <w:tcW w:w="567" w:type="dxa"/>
          </w:tcPr>
          <w:p w:rsidR="00592FA8" w:rsidRDefault="00603648" w:rsidP="009D4E5A">
            <w:pPr>
              <w:pStyle w:val="Default"/>
              <w:jc w:val="center"/>
              <w:rPr>
                <w:b/>
                <w:sz w:val="18"/>
                <w:szCs w:val="18"/>
                <w:vertAlign w:val="superscript"/>
              </w:rPr>
            </w:pPr>
            <w:r>
              <w:rPr>
                <w:b/>
                <w:sz w:val="18"/>
                <w:szCs w:val="18"/>
                <w:vertAlign w:val="superscript"/>
              </w:rPr>
              <w:t>74,83</w:t>
            </w:r>
          </w:p>
        </w:tc>
        <w:tc>
          <w:tcPr>
            <w:tcW w:w="567" w:type="dxa"/>
          </w:tcPr>
          <w:p w:rsidR="00592FA8" w:rsidRDefault="00603648" w:rsidP="009D4E5A">
            <w:pPr>
              <w:pStyle w:val="Default"/>
              <w:rPr>
                <w:b/>
                <w:sz w:val="18"/>
                <w:szCs w:val="18"/>
                <w:vertAlign w:val="superscript"/>
              </w:rPr>
            </w:pPr>
            <w:r>
              <w:rPr>
                <w:b/>
                <w:sz w:val="18"/>
                <w:szCs w:val="18"/>
                <w:vertAlign w:val="superscript"/>
              </w:rPr>
              <w:t>100,00</w:t>
            </w:r>
          </w:p>
        </w:tc>
        <w:tc>
          <w:tcPr>
            <w:tcW w:w="851" w:type="dxa"/>
          </w:tcPr>
          <w:p w:rsidR="00592FA8" w:rsidRPr="001417F7" w:rsidRDefault="007378EA" w:rsidP="009D4E5A">
            <w:pPr>
              <w:pStyle w:val="Default"/>
              <w:jc w:val="center"/>
              <w:rPr>
                <w:b/>
                <w:sz w:val="18"/>
                <w:szCs w:val="18"/>
                <w:vertAlign w:val="superscript"/>
              </w:rPr>
            </w:pPr>
            <w:r>
              <w:rPr>
                <w:b/>
                <w:sz w:val="18"/>
                <w:szCs w:val="18"/>
                <w:vertAlign w:val="superscript"/>
              </w:rPr>
              <w:t>9 349 911,42</w:t>
            </w:r>
          </w:p>
        </w:tc>
        <w:tc>
          <w:tcPr>
            <w:tcW w:w="567" w:type="dxa"/>
          </w:tcPr>
          <w:p w:rsidR="00592FA8" w:rsidRDefault="009D4E5A" w:rsidP="009D4E5A">
            <w:pPr>
              <w:pStyle w:val="Default"/>
              <w:jc w:val="center"/>
              <w:rPr>
                <w:b/>
                <w:sz w:val="18"/>
                <w:szCs w:val="18"/>
                <w:vertAlign w:val="superscript"/>
              </w:rPr>
            </w:pPr>
            <w:r>
              <w:rPr>
                <w:b/>
                <w:sz w:val="18"/>
                <w:szCs w:val="18"/>
                <w:vertAlign w:val="superscript"/>
              </w:rPr>
              <w:t>92,85</w:t>
            </w:r>
          </w:p>
        </w:tc>
        <w:tc>
          <w:tcPr>
            <w:tcW w:w="567" w:type="dxa"/>
          </w:tcPr>
          <w:p w:rsidR="00592FA8" w:rsidRDefault="009D4E5A" w:rsidP="009D4E5A">
            <w:pPr>
              <w:pStyle w:val="Default"/>
              <w:jc w:val="center"/>
              <w:rPr>
                <w:b/>
                <w:sz w:val="18"/>
                <w:szCs w:val="18"/>
                <w:vertAlign w:val="superscript"/>
              </w:rPr>
            </w:pPr>
            <w:r>
              <w:rPr>
                <w:b/>
                <w:sz w:val="18"/>
                <w:szCs w:val="18"/>
                <w:vertAlign w:val="superscript"/>
              </w:rPr>
              <w:t>100,00</w:t>
            </w:r>
          </w:p>
        </w:tc>
        <w:tc>
          <w:tcPr>
            <w:tcW w:w="850" w:type="dxa"/>
          </w:tcPr>
          <w:p w:rsidR="00592FA8" w:rsidRPr="001417F7" w:rsidRDefault="007378EA" w:rsidP="009D4E5A">
            <w:pPr>
              <w:pStyle w:val="Default"/>
              <w:jc w:val="center"/>
              <w:rPr>
                <w:b/>
                <w:sz w:val="18"/>
                <w:szCs w:val="18"/>
                <w:vertAlign w:val="superscript"/>
              </w:rPr>
            </w:pPr>
            <w:r>
              <w:rPr>
                <w:b/>
                <w:sz w:val="18"/>
                <w:szCs w:val="18"/>
                <w:vertAlign w:val="superscript"/>
              </w:rPr>
              <w:t>9 999 431,17</w:t>
            </w:r>
          </w:p>
        </w:tc>
        <w:tc>
          <w:tcPr>
            <w:tcW w:w="567" w:type="dxa"/>
          </w:tcPr>
          <w:p w:rsidR="00592FA8" w:rsidRDefault="009D4E5A" w:rsidP="009D4E5A">
            <w:pPr>
              <w:pStyle w:val="Default"/>
              <w:jc w:val="center"/>
              <w:rPr>
                <w:b/>
                <w:sz w:val="18"/>
                <w:szCs w:val="18"/>
                <w:vertAlign w:val="superscript"/>
              </w:rPr>
            </w:pPr>
            <w:r>
              <w:rPr>
                <w:b/>
                <w:sz w:val="18"/>
                <w:szCs w:val="18"/>
                <w:vertAlign w:val="superscript"/>
              </w:rPr>
              <w:t>106,95</w:t>
            </w:r>
          </w:p>
        </w:tc>
        <w:tc>
          <w:tcPr>
            <w:tcW w:w="567" w:type="dxa"/>
          </w:tcPr>
          <w:p w:rsidR="00592FA8" w:rsidRDefault="009D4E5A" w:rsidP="009D4E5A">
            <w:pPr>
              <w:pStyle w:val="Default"/>
              <w:jc w:val="center"/>
              <w:rPr>
                <w:b/>
                <w:sz w:val="18"/>
                <w:szCs w:val="18"/>
                <w:vertAlign w:val="superscript"/>
              </w:rPr>
            </w:pPr>
            <w:r>
              <w:rPr>
                <w:b/>
                <w:sz w:val="18"/>
                <w:szCs w:val="18"/>
                <w:vertAlign w:val="superscript"/>
              </w:rPr>
              <w:t>100,00</w:t>
            </w:r>
          </w:p>
        </w:tc>
      </w:tr>
    </w:tbl>
    <w:p w:rsidR="000353BA" w:rsidRDefault="000353B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структуре доходных источников поселения группа налоговых и неналоговых </w:t>
      </w:r>
      <w:r>
        <w:rPr>
          <w:rFonts w:ascii="Times New Roman" w:hAnsi="Times New Roman" w:cs="Times New Roman"/>
          <w:sz w:val="24"/>
          <w:szCs w:val="24"/>
        </w:rPr>
        <w:lastRenderedPageBreak/>
        <w:t>доходов в 2024 году занимает 56,17%, в 2025 году 61,10%, в 2026 году 63,44%, безвозмездные поступления соответственно 43,83%, 38,90</w:t>
      </w:r>
      <w:r w:rsidR="002A52E3">
        <w:rPr>
          <w:rFonts w:ascii="Times New Roman" w:hAnsi="Times New Roman" w:cs="Times New Roman"/>
          <w:sz w:val="24"/>
          <w:szCs w:val="24"/>
        </w:rPr>
        <w:t>%</w:t>
      </w:r>
      <w:r>
        <w:rPr>
          <w:rFonts w:ascii="Times New Roman" w:hAnsi="Times New Roman" w:cs="Times New Roman"/>
          <w:sz w:val="24"/>
          <w:szCs w:val="24"/>
        </w:rPr>
        <w:t>, 36,56</w:t>
      </w:r>
      <w:r w:rsidR="002A52E3">
        <w:rPr>
          <w:rFonts w:ascii="Times New Roman" w:hAnsi="Times New Roman" w:cs="Times New Roman"/>
          <w:sz w:val="24"/>
          <w:szCs w:val="24"/>
        </w:rPr>
        <w:t>%</w:t>
      </w:r>
      <w:r>
        <w:rPr>
          <w:rFonts w:ascii="Times New Roman" w:hAnsi="Times New Roman" w:cs="Times New Roman"/>
          <w:sz w:val="24"/>
          <w:szCs w:val="24"/>
        </w:rPr>
        <w:t>.</w:t>
      </w:r>
      <w:r w:rsidR="009D4E5A">
        <w:rPr>
          <w:rFonts w:ascii="Times New Roman" w:hAnsi="Times New Roman" w:cs="Times New Roman"/>
          <w:sz w:val="24"/>
          <w:szCs w:val="24"/>
        </w:rPr>
        <w:tab/>
      </w:r>
    </w:p>
    <w:p w:rsidR="000353BA" w:rsidRDefault="000353B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Налоговые доходы в структуре налоговых и неналоговых доходов имеют долю в 2024 году 71,94%, в плановом периоде 2025 году 72,21%, в 2026 году-74,98%. Поступление налоговых доходов в 2024 году планируется в сумме 4 069 136,00</w:t>
      </w:r>
      <w:r w:rsidR="00BF6DCE">
        <w:rPr>
          <w:rFonts w:ascii="Times New Roman" w:hAnsi="Times New Roman" w:cs="Times New Roman"/>
          <w:sz w:val="24"/>
          <w:szCs w:val="24"/>
        </w:rPr>
        <w:t xml:space="preserve"> рублей, с ростом к уровню 2023года в первоначальной редакции бюджета на 21,95% и со снижением к уточненной редакции на 59,59%, в плановом периоде 2025 года планируется поступление в сумме </w:t>
      </w:r>
      <w:r w:rsidR="002A52E3">
        <w:rPr>
          <w:rFonts w:ascii="Times New Roman" w:hAnsi="Times New Roman" w:cs="Times New Roman"/>
          <w:sz w:val="24"/>
          <w:szCs w:val="24"/>
        </w:rPr>
        <w:t>4 125 749,00 рублей, с ростом к уровню 2024 года на 1,39%, в 2026 году в сумме 4 756 173,00 рублей с ростом к 2025 году на 15,28%.</w:t>
      </w:r>
    </w:p>
    <w:p w:rsidR="00F5473F" w:rsidRDefault="002A52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структуре налоговых доходов наибольший объем сформирован за счет поступления </w:t>
      </w:r>
      <w:r w:rsidRPr="002A52E3">
        <w:rPr>
          <w:rFonts w:ascii="Times New Roman" w:hAnsi="Times New Roman" w:cs="Times New Roman"/>
          <w:b/>
          <w:sz w:val="24"/>
          <w:szCs w:val="24"/>
        </w:rPr>
        <w:t>Налога на имущество</w:t>
      </w:r>
      <w:r>
        <w:rPr>
          <w:rFonts w:ascii="Times New Roman" w:hAnsi="Times New Roman" w:cs="Times New Roman"/>
          <w:b/>
          <w:sz w:val="24"/>
          <w:szCs w:val="24"/>
        </w:rPr>
        <w:t xml:space="preserve"> </w:t>
      </w:r>
      <w:r w:rsidRPr="002A52E3">
        <w:rPr>
          <w:rFonts w:ascii="Times New Roman" w:hAnsi="Times New Roman" w:cs="Times New Roman"/>
          <w:sz w:val="24"/>
          <w:szCs w:val="24"/>
        </w:rPr>
        <w:t>на 2024 год</w:t>
      </w:r>
      <w:r>
        <w:rPr>
          <w:rFonts w:ascii="Times New Roman" w:hAnsi="Times New Roman" w:cs="Times New Roman"/>
          <w:sz w:val="24"/>
          <w:szCs w:val="24"/>
        </w:rPr>
        <w:t xml:space="preserve"> планируется поступление в сумме 2 043 000,00 рублей </w:t>
      </w:r>
      <w:bookmarkStart w:id="13" w:name="OLE_LINK22"/>
      <w:bookmarkStart w:id="14" w:name="OLE_LINK25"/>
      <w:r>
        <w:rPr>
          <w:rFonts w:ascii="Times New Roman" w:hAnsi="Times New Roman" w:cs="Times New Roman"/>
          <w:sz w:val="24"/>
          <w:szCs w:val="24"/>
        </w:rPr>
        <w:t>(доля в структуре налоговых доходов 50,21%).</w:t>
      </w:r>
      <w:bookmarkEnd w:id="13"/>
      <w:bookmarkEnd w:id="14"/>
      <w:r w:rsidR="00F5473F">
        <w:rPr>
          <w:rFonts w:ascii="Times New Roman" w:hAnsi="Times New Roman" w:cs="Times New Roman"/>
          <w:sz w:val="24"/>
          <w:szCs w:val="24"/>
        </w:rPr>
        <w:t>В плановом периоде 2025 и 2026 годов ожидается поступление на уровне 2024 года.</w:t>
      </w:r>
    </w:p>
    <w:p w:rsidR="00F5473F" w:rsidRPr="00F5473F" w:rsidRDefault="00F5473F" w:rsidP="00F5473F">
      <w:pPr>
        <w:pStyle w:val="Style9"/>
        <w:widowControl/>
        <w:spacing w:line="240" w:lineRule="auto"/>
        <w:ind w:left="38" w:right="5" w:firstLine="672"/>
      </w:pPr>
      <w:r w:rsidRPr="00F5473F">
        <w:t xml:space="preserve">Прогноз поступлений </w:t>
      </w:r>
      <w:r w:rsidRPr="00F5473F">
        <w:rPr>
          <w:b/>
        </w:rPr>
        <w:t>акцизов по подакцизным товарам (продукции), производимым на территории Российской Федерации</w:t>
      </w:r>
      <w:r w:rsidRPr="00F5473F">
        <w:rPr>
          <w:rStyle w:val="FontStyle34"/>
          <w:sz w:val="24"/>
          <w:szCs w:val="24"/>
        </w:rPr>
        <w:t xml:space="preserve">  </w:t>
      </w:r>
      <w:r w:rsidRPr="00F5473F">
        <w:t>основан на оценке ожидаемого поступления акцизов в 2023 году.</w:t>
      </w:r>
    </w:p>
    <w:p w:rsidR="00F5473F" w:rsidRPr="00F5473F" w:rsidRDefault="00F5473F" w:rsidP="00F5473F">
      <w:pPr>
        <w:pStyle w:val="Style9"/>
        <w:widowControl/>
        <w:spacing w:line="240" w:lineRule="auto"/>
        <w:ind w:left="38" w:right="5" w:firstLine="672"/>
        <w:contextualSpacing/>
      </w:pPr>
      <w:r w:rsidRPr="00F5473F">
        <w:t>Дифференцированный норматив отчисления в бюджет сельского поселения на 2024-2026 годы составляет 0,0261 процента.</w:t>
      </w:r>
    </w:p>
    <w:p w:rsidR="00F5473F" w:rsidRPr="00F5473F" w:rsidRDefault="00F5473F" w:rsidP="00F5473F">
      <w:pPr>
        <w:pStyle w:val="Style9"/>
        <w:widowControl/>
        <w:spacing w:line="240" w:lineRule="auto"/>
        <w:ind w:left="38" w:right="5" w:firstLine="672"/>
      </w:pPr>
      <w:r w:rsidRPr="00F5473F">
        <w:t>В бюджет поселения подлежат зачислению акцизы на автомобильный и прямогонный бензин, дизельное топливо, моторные масла для дизельных и (или) карбюраторных двигателей, производимых на территории Российской Федерации.</w:t>
      </w:r>
    </w:p>
    <w:p w:rsidR="00F5473F" w:rsidRDefault="00F5473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планируется поступление в 1 719 716,00 рублей (доля в структуре налоговых доходов 42,26%) с ростом к уровню 2023 года на 10,88%, в плановом периоде 2025 года ожидается поступление в сумме 1 759 357,00 рублей с ростом к уровню 2024 года на 2,31%, в 2025 году  2 372 703,00 рублей с ростом на 34,86% к уровню 2025 года.</w:t>
      </w:r>
    </w:p>
    <w:p w:rsidR="00F5473F" w:rsidRDefault="00F5473F" w:rsidP="00F5473F">
      <w:pPr>
        <w:pStyle w:val="af0"/>
        <w:spacing w:after="0"/>
        <w:ind w:left="284" w:firstLine="709"/>
        <w:jc w:val="both"/>
      </w:pPr>
      <w:r w:rsidRPr="00F5473F">
        <w:t xml:space="preserve">Прогноз поступлений </w:t>
      </w:r>
      <w:r w:rsidRPr="00F5473F">
        <w:rPr>
          <w:b/>
        </w:rPr>
        <w:t>налога на доход физических лиц</w:t>
      </w:r>
      <w:r w:rsidRPr="00F5473F">
        <w:t xml:space="preserve"> определен исходя из оценки ожидаемых поступлений по налогу на доходы физических лиц в 2023 году,  с учетом динамики показателя «Фонда начисленной заработной платы работников» прогноза социально-экономического развития.</w:t>
      </w:r>
      <w:r>
        <w:t xml:space="preserve"> В 2024 году запланировано проектом бюджета поступление в сумме 302 364,00 рублей (занимает в структуре налоговых доходов 7,43%), с ростом к уровню 2023 года на 69,16%, в плановом периоде 2025 года предусмотрено поступление в сумме 319 285,00 рублей с ростом к уровню 2024 года на 5,60% и в 2026 году в сумме 336 301,00 рублей с ростом на 5,33% к уровню поступлений 2025 года. </w:t>
      </w:r>
    </w:p>
    <w:p w:rsidR="00F5473F" w:rsidRDefault="0063740A" w:rsidP="00F5473F">
      <w:pPr>
        <w:pStyle w:val="af0"/>
        <w:spacing w:after="0"/>
        <w:ind w:left="284" w:firstLine="709"/>
        <w:jc w:val="both"/>
        <w:rPr>
          <w:szCs w:val="28"/>
        </w:rPr>
      </w:pPr>
      <w:r>
        <w:t xml:space="preserve">Поступление </w:t>
      </w:r>
      <w:r w:rsidRPr="0063740A">
        <w:rPr>
          <w:b/>
        </w:rPr>
        <w:t>налога на совокупный доход (Единый сельскохозяйственный налог)</w:t>
      </w:r>
      <w:r>
        <w:t xml:space="preserve"> основано </w:t>
      </w:r>
      <w:r>
        <w:rPr>
          <w:szCs w:val="28"/>
        </w:rPr>
        <w:t>на основании оценки ожидаемых поступлений в 2023 году с учетом  ожидаемой прибыли крупных и средних организаций сельского хозяйства. Поступление на 2024 год ожидается в сумме 2 056,00 рублей (в структуре налоговых доходов имеет долю 0,05%), со снижением к уровню 2023 ода на 90,21%, в плановом периоде сформировано поступление в сумме 2 107,00, с ростом к уровню 2024 года на 2,48% и в 2026 году планируется поступление в сумме 2 169,00 рублей с ростом к уровню 2025 года на 2,94%.</w:t>
      </w:r>
    </w:p>
    <w:p w:rsidR="0063740A" w:rsidRPr="0063740A" w:rsidRDefault="0063740A" w:rsidP="0063740A">
      <w:pPr>
        <w:ind w:firstLine="709"/>
        <w:jc w:val="both"/>
        <w:rPr>
          <w:rFonts w:ascii="Times New Roman" w:hAnsi="Times New Roman" w:cs="Times New Roman"/>
          <w:szCs w:val="28"/>
        </w:rPr>
      </w:pPr>
      <w:r w:rsidRPr="0063740A">
        <w:rPr>
          <w:rFonts w:ascii="Times New Roman" w:hAnsi="Times New Roman" w:cs="Times New Roman"/>
          <w:szCs w:val="28"/>
        </w:rPr>
        <w:t>Поступление государственной пошлины планировался на основании оценки ожидаемых поступлений в 2023 году исходя из сложившейся базы поступлений налога.</w:t>
      </w:r>
      <w:r>
        <w:rPr>
          <w:rFonts w:ascii="Times New Roman" w:hAnsi="Times New Roman" w:cs="Times New Roman"/>
          <w:szCs w:val="28"/>
        </w:rPr>
        <w:t xml:space="preserve"> В 2024 году планируется поступление в сумме 2 000,00 рублей со снижением к уровню 2023 года на 71,43%, в плановом периоде 2025 и 2026 годов ожидается поступление на уровне 2024 года.</w:t>
      </w:r>
    </w:p>
    <w:p w:rsidR="00D77600" w:rsidRDefault="0063740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Поступление н</w:t>
      </w:r>
      <w:r w:rsidR="009D4E5A">
        <w:rPr>
          <w:rFonts w:ascii="Times New Roman" w:hAnsi="Times New Roman" w:cs="Times New Roman"/>
          <w:sz w:val="24"/>
          <w:szCs w:val="24"/>
        </w:rPr>
        <w:t>еналоговы</w:t>
      </w:r>
      <w:r>
        <w:rPr>
          <w:rFonts w:ascii="Times New Roman" w:hAnsi="Times New Roman" w:cs="Times New Roman"/>
          <w:sz w:val="24"/>
          <w:szCs w:val="24"/>
        </w:rPr>
        <w:t>х</w:t>
      </w:r>
      <w:r w:rsidR="009D4E5A">
        <w:rPr>
          <w:rFonts w:ascii="Times New Roman" w:hAnsi="Times New Roman" w:cs="Times New Roman"/>
          <w:sz w:val="24"/>
          <w:szCs w:val="24"/>
        </w:rPr>
        <w:t xml:space="preserve"> доход</w:t>
      </w:r>
      <w:r>
        <w:rPr>
          <w:rFonts w:ascii="Times New Roman" w:hAnsi="Times New Roman" w:cs="Times New Roman"/>
          <w:sz w:val="24"/>
          <w:szCs w:val="24"/>
        </w:rPr>
        <w:t>ов</w:t>
      </w:r>
      <w:r w:rsidR="009D4E5A">
        <w:rPr>
          <w:rFonts w:ascii="Times New Roman" w:hAnsi="Times New Roman" w:cs="Times New Roman"/>
          <w:sz w:val="24"/>
          <w:szCs w:val="24"/>
        </w:rPr>
        <w:t xml:space="preserve"> запланирован</w:t>
      </w:r>
      <w:r>
        <w:rPr>
          <w:rFonts w:ascii="Times New Roman" w:hAnsi="Times New Roman" w:cs="Times New Roman"/>
          <w:sz w:val="24"/>
          <w:szCs w:val="24"/>
        </w:rPr>
        <w:t>о</w:t>
      </w:r>
      <w:r w:rsidR="009D4E5A">
        <w:rPr>
          <w:rFonts w:ascii="Times New Roman" w:hAnsi="Times New Roman" w:cs="Times New Roman"/>
          <w:sz w:val="24"/>
          <w:szCs w:val="24"/>
        </w:rPr>
        <w:t xml:space="preserve"> в 202</w:t>
      </w:r>
      <w:r>
        <w:rPr>
          <w:rFonts w:ascii="Times New Roman" w:hAnsi="Times New Roman" w:cs="Times New Roman"/>
          <w:sz w:val="24"/>
          <w:szCs w:val="24"/>
        </w:rPr>
        <w:t>4</w:t>
      </w:r>
      <w:r w:rsidR="009D4E5A">
        <w:rPr>
          <w:rFonts w:ascii="Times New Roman" w:hAnsi="Times New Roman" w:cs="Times New Roman"/>
          <w:sz w:val="24"/>
          <w:szCs w:val="24"/>
        </w:rPr>
        <w:t xml:space="preserve"> году  с ростом к 202</w:t>
      </w:r>
      <w:r>
        <w:rPr>
          <w:rFonts w:ascii="Times New Roman" w:hAnsi="Times New Roman" w:cs="Times New Roman"/>
          <w:sz w:val="24"/>
          <w:szCs w:val="24"/>
        </w:rPr>
        <w:t>3</w:t>
      </w:r>
      <w:r w:rsidR="009D4E5A">
        <w:rPr>
          <w:rFonts w:ascii="Times New Roman" w:hAnsi="Times New Roman" w:cs="Times New Roman"/>
          <w:sz w:val="24"/>
          <w:szCs w:val="24"/>
        </w:rPr>
        <w:t xml:space="preserve"> году на </w:t>
      </w:r>
      <w:r>
        <w:rPr>
          <w:rFonts w:ascii="Times New Roman" w:hAnsi="Times New Roman" w:cs="Times New Roman"/>
          <w:sz w:val="24"/>
          <w:szCs w:val="24"/>
        </w:rPr>
        <w:t>96,61</w:t>
      </w:r>
      <w:r w:rsidR="009D4E5A">
        <w:rPr>
          <w:rFonts w:ascii="Times New Roman" w:hAnsi="Times New Roman" w:cs="Times New Roman"/>
          <w:sz w:val="24"/>
          <w:szCs w:val="24"/>
        </w:rPr>
        <w:t xml:space="preserve">%, </w:t>
      </w:r>
      <w:r>
        <w:rPr>
          <w:rFonts w:ascii="Times New Roman" w:hAnsi="Times New Roman" w:cs="Times New Roman"/>
          <w:sz w:val="24"/>
          <w:szCs w:val="24"/>
        </w:rPr>
        <w:t>в плановые периоды ожидается поступление на уровне</w:t>
      </w:r>
      <w:r w:rsidR="009D4E5A">
        <w:rPr>
          <w:rFonts w:ascii="Times New Roman" w:hAnsi="Times New Roman" w:cs="Times New Roman"/>
          <w:sz w:val="24"/>
          <w:szCs w:val="24"/>
        </w:rPr>
        <w:t xml:space="preserve"> 2023 года. </w:t>
      </w:r>
      <w:r>
        <w:rPr>
          <w:rFonts w:ascii="Times New Roman" w:hAnsi="Times New Roman" w:cs="Times New Roman"/>
          <w:sz w:val="24"/>
          <w:szCs w:val="24"/>
        </w:rPr>
        <w:t>О</w:t>
      </w:r>
      <w:r w:rsidR="009D4E5A">
        <w:rPr>
          <w:rFonts w:ascii="Times New Roman" w:hAnsi="Times New Roman" w:cs="Times New Roman"/>
          <w:sz w:val="24"/>
          <w:szCs w:val="24"/>
        </w:rPr>
        <w:t>сновны</w:t>
      </w:r>
      <w:r>
        <w:rPr>
          <w:rFonts w:ascii="Times New Roman" w:hAnsi="Times New Roman" w:cs="Times New Roman"/>
          <w:sz w:val="24"/>
          <w:szCs w:val="24"/>
        </w:rPr>
        <w:t>м</w:t>
      </w:r>
      <w:r w:rsidR="009D4E5A">
        <w:rPr>
          <w:rFonts w:ascii="Times New Roman" w:hAnsi="Times New Roman" w:cs="Times New Roman"/>
          <w:sz w:val="24"/>
          <w:szCs w:val="24"/>
        </w:rPr>
        <w:t xml:space="preserve"> источнико</w:t>
      </w:r>
      <w:r>
        <w:rPr>
          <w:rFonts w:ascii="Times New Roman" w:hAnsi="Times New Roman" w:cs="Times New Roman"/>
          <w:sz w:val="24"/>
          <w:szCs w:val="24"/>
        </w:rPr>
        <w:t>м</w:t>
      </w:r>
      <w:r w:rsidR="009D4E5A">
        <w:rPr>
          <w:rFonts w:ascii="Times New Roman" w:hAnsi="Times New Roman" w:cs="Times New Roman"/>
          <w:sz w:val="24"/>
          <w:szCs w:val="24"/>
        </w:rPr>
        <w:t xml:space="preserve"> поступлений неналоговых доходов </w:t>
      </w:r>
      <w:r>
        <w:rPr>
          <w:rFonts w:ascii="Times New Roman" w:hAnsi="Times New Roman" w:cs="Times New Roman"/>
          <w:sz w:val="24"/>
          <w:szCs w:val="24"/>
        </w:rPr>
        <w:t xml:space="preserve">являются </w:t>
      </w:r>
      <w:r w:rsidR="009D4E5A">
        <w:rPr>
          <w:rFonts w:ascii="Times New Roman" w:hAnsi="Times New Roman" w:cs="Times New Roman"/>
          <w:sz w:val="24"/>
          <w:szCs w:val="24"/>
        </w:rPr>
        <w:t xml:space="preserve"> </w:t>
      </w:r>
      <w:r w:rsidR="009D4E5A">
        <w:rPr>
          <w:rFonts w:ascii="Times New Roman" w:eastAsia="Times New Roman" w:hAnsi="Times New Roman" w:cs="Times New Roman"/>
          <w:sz w:val="24"/>
          <w:szCs w:val="24"/>
        </w:rPr>
        <w:t>Доходы от использования имущества, находящегося в государственной и муниципальной собственности.</w:t>
      </w:r>
    </w:p>
    <w:p w:rsidR="00D77600" w:rsidRDefault="009D4E5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части безвозмездных поступлений в доходах бюджета учтена дотаци</w:t>
      </w:r>
      <w:r w:rsidR="00B867B3">
        <w:rPr>
          <w:rFonts w:ascii="Times New Roman" w:hAnsi="Times New Roman" w:cs="Times New Roman"/>
          <w:sz w:val="24"/>
          <w:szCs w:val="24"/>
        </w:rPr>
        <w:t>я</w:t>
      </w:r>
      <w:r>
        <w:rPr>
          <w:rFonts w:ascii="Times New Roman" w:hAnsi="Times New Roman" w:cs="Times New Roman"/>
          <w:sz w:val="24"/>
          <w:szCs w:val="24"/>
        </w:rPr>
        <w:t xml:space="preserve"> на выравнивание бюджетной обеспеченности поселений из районного бюджета. Объем поступлений на 202</w:t>
      </w:r>
      <w:r w:rsidR="00B867B3">
        <w:rPr>
          <w:rFonts w:ascii="Times New Roman" w:hAnsi="Times New Roman" w:cs="Times New Roman"/>
          <w:sz w:val="24"/>
          <w:szCs w:val="24"/>
        </w:rPr>
        <w:t>4</w:t>
      </w:r>
      <w:r>
        <w:rPr>
          <w:rFonts w:ascii="Times New Roman" w:hAnsi="Times New Roman" w:cs="Times New Roman"/>
          <w:sz w:val="24"/>
          <w:szCs w:val="24"/>
        </w:rPr>
        <w:t xml:space="preserve"> год </w:t>
      </w:r>
      <w:r w:rsidR="00B867B3">
        <w:rPr>
          <w:rFonts w:ascii="Times New Roman" w:hAnsi="Times New Roman" w:cs="Times New Roman"/>
          <w:sz w:val="24"/>
          <w:szCs w:val="24"/>
        </w:rPr>
        <w:t xml:space="preserve">4 413 479,65 рублей </w:t>
      </w:r>
      <w:r>
        <w:rPr>
          <w:rFonts w:ascii="Times New Roman" w:hAnsi="Times New Roman" w:cs="Times New Roman"/>
          <w:sz w:val="24"/>
          <w:szCs w:val="24"/>
        </w:rPr>
        <w:t xml:space="preserve">с ростом на </w:t>
      </w:r>
      <w:r w:rsidR="00B867B3">
        <w:rPr>
          <w:rFonts w:ascii="Times New Roman" w:hAnsi="Times New Roman" w:cs="Times New Roman"/>
          <w:sz w:val="24"/>
          <w:szCs w:val="24"/>
        </w:rPr>
        <w:t>8,16</w:t>
      </w:r>
      <w:r>
        <w:rPr>
          <w:rFonts w:ascii="Times New Roman" w:hAnsi="Times New Roman" w:cs="Times New Roman"/>
          <w:sz w:val="24"/>
          <w:szCs w:val="24"/>
        </w:rPr>
        <w:t xml:space="preserve">% к </w:t>
      </w:r>
      <w:r w:rsidR="00B867B3">
        <w:rPr>
          <w:rFonts w:ascii="Times New Roman" w:hAnsi="Times New Roman" w:cs="Times New Roman"/>
          <w:sz w:val="24"/>
          <w:szCs w:val="24"/>
        </w:rPr>
        <w:t>уровню</w:t>
      </w:r>
      <w:r>
        <w:rPr>
          <w:rFonts w:ascii="Times New Roman" w:hAnsi="Times New Roman" w:cs="Times New Roman"/>
          <w:sz w:val="24"/>
          <w:szCs w:val="24"/>
        </w:rPr>
        <w:t xml:space="preserve"> 202</w:t>
      </w:r>
      <w:r w:rsidR="00B867B3">
        <w:rPr>
          <w:rFonts w:ascii="Times New Roman" w:hAnsi="Times New Roman" w:cs="Times New Roman"/>
          <w:sz w:val="24"/>
          <w:szCs w:val="24"/>
        </w:rPr>
        <w:t>3</w:t>
      </w:r>
      <w:r>
        <w:rPr>
          <w:rFonts w:ascii="Times New Roman" w:hAnsi="Times New Roman" w:cs="Times New Roman"/>
          <w:sz w:val="24"/>
          <w:szCs w:val="24"/>
        </w:rPr>
        <w:t xml:space="preserve"> год</w:t>
      </w:r>
      <w:r w:rsidR="00B867B3">
        <w:rPr>
          <w:rFonts w:ascii="Times New Roman" w:hAnsi="Times New Roman" w:cs="Times New Roman"/>
          <w:sz w:val="24"/>
          <w:szCs w:val="24"/>
        </w:rPr>
        <w:t xml:space="preserve">а, в </w:t>
      </w:r>
      <w:r>
        <w:rPr>
          <w:rFonts w:ascii="Times New Roman" w:hAnsi="Times New Roman" w:cs="Times New Roman"/>
          <w:sz w:val="24"/>
          <w:szCs w:val="24"/>
        </w:rPr>
        <w:t xml:space="preserve"> плановый период 202</w:t>
      </w:r>
      <w:r w:rsidR="00B867B3">
        <w:rPr>
          <w:rFonts w:ascii="Times New Roman" w:hAnsi="Times New Roman" w:cs="Times New Roman"/>
          <w:sz w:val="24"/>
          <w:szCs w:val="24"/>
        </w:rPr>
        <w:t>5</w:t>
      </w:r>
      <w:r>
        <w:rPr>
          <w:rFonts w:ascii="Times New Roman" w:hAnsi="Times New Roman" w:cs="Times New Roman"/>
          <w:sz w:val="24"/>
          <w:szCs w:val="24"/>
        </w:rPr>
        <w:t xml:space="preserve"> года </w:t>
      </w:r>
      <w:r w:rsidR="00B867B3">
        <w:rPr>
          <w:rFonts w:ascii="Times New Roman" w:hAnsi="Times New Roman" w:cs="Times New Roman"/>
          <w:sz w:val="24"/>
          <w:szCs w:val="24"/>
        </w:rPr>
        <w:t>ожидается сумма 3 636 716,42 рублей со снижением к уровню 2025 года на 17,60%, в 2026 году 3 655 812,17 рублей с ростом к уровню 2026 года на 0,53%</w:t>
      </w:r>
      <w:r>
        <w:rPr>
          <w:rFonts w:ascii="Times New Roman" w:hAnsi="Times New Roman" w:cs="Times New Roman"/>
          <w:sz w:val="24"/>
          <w:szCs w:val="24"/>
        </w:rPr>
        <w:t>.</w:t>
      </w:r>
    </w:p>
    <w:p w:rsidR="00D77600" w:rsidRDefault="00D77600">
      <w:pPr>
        <w:widowControl w:val="0"/>
        <w:spacing w:after="0" w:line="240" w:lineRule="auto"/>
        <w:ind w:firstLine="709"/>
        <w:jc w:val="both"/>
        <w:rPr>
          <w:rFonts w:ascii="Times New Roman" w:hAnsi="Times New Roman" w:cs="Times New Roman"/>
          <w:sz w:val="24"/>
          <w:szCs w:val="24"/>
        </w:rPr>
      </w:pPr>
    </w:p>
    <w:p w:rsidR="00D77600" w:rsidRDefault="009D4E5A">
      <w:pPr>
        <w:spacing w:after="0" w:line="240" w:lineRule="auto"/>
        <w:ind w:firstLine="709"/>
        <w:jc w:val="center"/>
        <w:rPr>
          <w:rStyle w:val="FontStyle34"/>
          <w:b/>
          <w:sz w:val="24"/>
          <w:szCs w:val="24"/>
        </w:rPr>
      </w:pPr>
      <w:r>
        <w:rPr>
          <w:rStyle w:val="FontStyle34"/>
          <w:b/>
          <w:sz w:val="24"/>
          <w:szCs w:val="24"/>
        </w:rPr>
        <w:t>3.2.Расходы бюджета</w:t>
      </w:r>
    </w:p>
    <w:p w:rsidR="00D77600" w:rsidRDefault="009D4E5A">
      <w:pPr>
        <w:pStyle w:val="af1"/>
        <w:tabs>
          <w:tab w:val="left" w:pos="567"/>
        </w:tabs>
        <w:ind w:firstLine="709"/>
        <w:jc w:val="both"/>
        <w:rPr>
          <w:sz w:val="24"/>
        </w:rPr>
      </w:pPr>
      <w:r>
        <w:rPr>
          <w:sz w:val="24"/>
        </w:rPr>
        <w:t>Расходы бюджета на 202</w:t>
      </w:r>
      <w:r w:rsidR="00E8207F">
        <w:rPr>
          <w:sz w:val="24"/>
        </w:rPr>
        <w:t>4</w:t>
      </w:r>
      <w:r>
        <w:rPr>
          <w:sz w:val="24"/>
        </w:rPr>
        <w:t xml:space="preserve"> год и плановый период 202</w:t>
      </w:r>
      <w:r w:rsidR="00E8207F">
        <w:rPr>
          <w:sz w:val="24"/>
        </w:rPr>
        <w:t>5</w:t>
      </w:r>
      <w:r>
        <w:rPr>
          <w:sz w:val="24"/>
        </w:rPr>
        <w:t xml:space="preserve"> и 202</w:t>
      </w:r>
      <w:r w:rsidR="00E8207F">
        <w:rPr>
          <w:sz w:val="24"/>
        </w:rPr>
        <w:t>6</w:t>
      </w:r>
      <w:r>
        <w:rPr>
          <w:sz w:val="24"/>
        </w:rPr>
        <w:t xml:space="preserve"> годов сформированы с учетом требований ст.</w:t>
      </w:r>
      <w:r w:rsidR="00E8207F">
        <w:rPr>
          <w:sz w:val="24"/>
        </w:rPr>
        <w:t xml:space="preserve"> </w:t>
      </w:r>
      <w:r>
        <w:rPr>
          <w:sz w:val="24"/>
        </w:rPr>
        <w:t>184.1., 184.2. БК РФ, в разрезе муниципальных программ, финансирование которых составляет 100,00% от общего объема расходов в 202</w:t>
      </w:r>
      <w:r w:rsidR="00E8207F">
        <w:rPr>
          <w:sz w:val="24"/>
        </w:rPr>
        <w:t>4</w:t>
      </w:r>
      <w:r>
        <w:rPr>
          <w:sz w:val="24"/>
        </w:rPr>
        <w:t>-202</w:t>
      </w:r>
      <w:r w:rsidR="00E8207F">
        <w:rPr>
          <w:sz w:val="24"/>
        </w:rPr>
        <w:t>6</w:t>
      </w:r>
      <w:r>
        <w:rPr>
          <w:sz w:val="24"/>
        </w:rPr>
        <w:t xml:space="preserve"> годах.</w:t>
      </w:r>
    </w:p>
    <w:p w:rsidR="00D77600" w:rsidRDefault="009D4E5A">
      <w:pPr>
        <w:widowControl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Расходная часть бюджета сформирована в соответствии с законодательно обусловленными расходными обязательствами, исполнение которых должно производиться в очередном финансовом году и плановом периоде за счет бюджетных средств.</w:t>
      </w:r>
      <w:r w:rsidR="00E8207F">
        <w:rPr>
          <w:rFonts w:ascii="Times New Roman" w:hAnsi="Times New Roman" w:cs="Times New Roman"/>
          <w:sz w:val="24"/>
          <w:szCs w:val="24"/>
        </w:rPr>
        <w:t xml:space="preserve"> </w:t>
      </w:r>
      <w:r>
        <w:rPr>
          <w:rFonts w:ascii="Times New Roman" w:hAnsi="Times New Roman" w:cs="Times New Roman"/>
          <w:bCs/>
          <w:sz w:val="24"/>
          <w:szCs w:val="24"/>
        </w:rPr>
        <w:t>Расчет планируемых ассигнований  учитывает уровень инфляции текущего года и прогнозируемого на 202</w:t>
      </w:r>
      <w:r w:rsidR="00E8207F">
        <w:rPr>
          <w:rFonts w:ascii="Times New Roman" w:hAnsi="Times New Roman" w:cs="Times New Roman"/>
          <w:bCs/>
          <w:sz w:val="24"/>
          <w:szCs w:val="24"/>
        </w:rPr>
        <w:t>4</w:t>
      </w:r>
      <w:r>
        <w:rPr>
          <w:rFonts w:ascii="Times New Roman" w:hAnsi="Times New Roman" w:cs="Times New Roman"/>
          <w:bCs/>
          <w:sz w:val="24"/>
          <w:szCs w:val="24"/>
        </w:rPr>
        <w:t xml:space="preserve"> год, планируемую индексацию социальных выплат.</w:t>
      </w:r>
      <w:bookmarkStart w:id="15" w:name="OLE_LINK23"/>
      <w:bookmarkStart w:id="16" w:name="OLE_LINK24"/>
      <w:bookmarkEnd w:id="15"/>
      <w:bookmarkEnd w:id="16"/>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расходов местного бюджета на 202</w:t>
      </w:r>
      <w:r w:rsidR="00E8207F">
        <w:rPr>
          <w:rFonts w:ascii="Times New Roman" w:hAnsi="Times New Roman" w:cs="Times New Roman"/>
          <w:sz w:val="24"/>
          <w:szCs w:val="24"/>
        </w:rPr>
        <w:t>4</w:t>
      </w:r>
      <w:r>
        <w:rPr>
          <w:rFonts w:ascii="Times New Roman" w:hAnsi="Times New Roman" w:cs="Times New Roman"/>
          <w:sz w:val="24"/>
          <w:szCs w:val="24"/>
        </w:rPr>
        <w:t xml:space="preserve"> год определен на уровне </w:t>
      </w:r>
      <w:r w:rsidR="00E8207F">
        <w:rPr>
          <w:rFonts w:ascii="Times New Roman" w:hAnsi="Times New Roman" w:cs="Times New Roman"/>
          <w:sz w:val="24"/>
          <w:szCs w:val="24"/>
        </w:rPr>
        <w:t>10 070 061,65</w:t>
      </w:r>
      <w:r>
        <w:rPr>
          <w:rFonts w:ascii="Times New Roman" w:hAnsi="Times New Roman" w:cs="Times New Roman"/>
          <w:sz w:val="24"/>
          <w:szCs w:val="24"/>
        </w:rPr>
        <w:t xml:space="preserve"> рублей, на плановый период 202</w:t>
      </w:r>
      <w:r w:rsidR="00E8207F">
        <w:rPr>
          <w:rFonts w:ascii="Times New Roman" w:hAnsi="Times New Roman" w:cs="Times New Roman"/>
          <w:sz w:val="24"/>
          <w:szCs w:val="24"/>
        </w:rPr>
        <w:t>5</w:t>
      </w:r>
      <w:r>
        <w:rPr>
          <w:rFonts w:ascii="Times New Roman" w:hAnsi="Times New Roman" w:cs="Times New Roman"/>
          <w:sz w:val="24"/>
          <w:szCs w:val="24"/>
        </w:rPr>
        <w:t xml:space="preserve"> год – </w:t>
      </w:r>
      <w:r w:rsidR="00E8207F">
        <w:rPr>
          <w:rFonts w:ascii="Times New Roman" w:hAnsi="Times New Roman" w:cs="Times New Roman"/>
          <w:sz w:val="24"/>
          <w:szCs w:val="24"/>
        </w:rPr>
        <w:t>9 116 163,42</w:t>
      </w:r>
      <w:r>
        <w:rPr>
          <w:rFonts w:ascii="Times New Roman" w:hAnsi="Times New Roman" w:cs="Times New Roman"/>
          <w:sz w:val="24"/>
          <w:szCs w:val="24"/>
        </w:rPr>
        <w:t xml:space="preserve"> ру</w:t>
      </w:r>
      <w:r w:rsidR="00E8207F">
        <w:rPr>
          <w:rFonts w:ascii="Times New Roman" w:hAnsi="Times New Roman" w:cs="Times New Roman"/>
          <w:sz w:val="24"/>
          <w:szCs w:val="24"/>
        </w:rPr>
        <w:t>блей, 2026</w:t>
      </w:r>
      <w:r>
        <w:rPr>
          <w:rFonts w:ascii="Times New Roman" w:hAnsi="Times New Roman" w:cs="Times New Roman"/>
          <w:sz w:val="24"/>
          <w:szCs w:val="24"/>
        </w:rPr>
        <w:t xml:space="preserve"> год – </w:t>
      </w:r>
      <w:r w:rsidR="00E8207F">
        <w:rPr>
          <w:rFonts w:ascii="Times New Roman" w:hAnsi="Times New Roman" w:cs="Times New Roman"/>
          <w:sz w:val="24"/>
          <w:szCs w:val="24"/>
        </w:rPr>
        <w:t xml:space="preserve">9 499 459,17 </w:t>
      </w:r>
      <w:r>
        <w:rPr>
          <w:rFonts w:ascii="Times New Roman" w:hAnsi="Times New Roman" w:cs="Times New Roman"/>
          <w:sz w:val="24"/>
          <w:szCs w:val="24"/>
        </w:rPr>
        <w:t xml:space="preserve">рублей без учета условно утверждаемых расходов.   </w:t>
      </w:r>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местного бюджета по разделам представлены в следующей таблице</w:t>
      </w:r>
    </w:p>
    <w:tbl>
      <w:tblPr>
        <w:tblStyle w:val="af3"/>
        <w:tblW w:w="10065" w:type="dxa"/>
        <w:tblInd w:w="-318" w:type="dxa"/>
        <w:tblLayout w:type="fixed"/>
        <w:tblLook w:val="04A0"/>
      </w:tblPr>
      <w:tblGrid>
        <w:gridCol w:w="1277"/>
        <w:gridCol w:w="992"/>
        <w:gridCol w:w="992"/>
        <w:gridCol w:w="993"/>
        <w:gridCol w:w="567"/>
        <w:gridCol w:w="708"/>
        <w:gridCol w:w="567"/>
        <w:gridCol w:w="851"/>
        <w:gridCol w:w="567"/>
        <w:gridCol w:w="567"/>
        <w:gridCol w:w="850"/>
        <w:gridCol w:w="567"/>
        <w:gridCol w:w="567"/>
      </w:tblGrid>
      <w:tr w:rsidR="00843AE0" w:rsidTr="004417F0">
        <w:tc>
          <w:tcPr>
            <w:tcW w:w="1277" w:type="dxa"/>
            <w:vMerge w:val="restart"/>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наименование показателей</w:t>
            </w:r>
          </w:p>
        </w:tc>
        <w:tc>
          <w:tcPr>
            <w:tcW w:w="1984" w:type="dxa"/>
            <w:gridSpan w:val="2"/>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Утверждено на 2023 год</w:t>
            </w:r>
          </w:p>
        </w:tc>
        <w:tc>
          <w:tcPr>
            <w:tcW w:w="6804" w:type="dxa"/>
            <w:gridSpan w:val="10"/>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Предусмотрено проектом решения</w:t>
            </w:r>
          </w:p>
        </w:tc>
      </w:tr>
      <w:tr w:rsidR="00843AE0" w:rsidTr="004417F0">
        <w:tc>
          <w:tcPr>
            <w:tcW w:w="1277" w:type="dxa"/>
            <w:vMerge/>
            <w:tcBorders>
              <w:top w:val="single" w:sz="4" w:space="0" w:color="auto"/>
              <w:left w:val="single" w:sz="4" w:space="0" w:color="auto"/>
              <w:bottom w:val="single" w:sz="4" w:space="0" w:color="auto"/>
              <w:right w:val="single" w:sz="4" w:space="0" w:color="auto"/>
            </w:tcBorders>
            <w:vAlign w:val="center"/>
            <w:hideMark/>
          </w:tcPr>
          <w:p w:rsidR="00843AE0" w:rsidRDefault="00843AE0" w:rsidP="00625741">
            <w:pPr>
              <w:suppressAutoHyphens w:val="0"/>
              <w:spacing w:after="0" w:line="240" w:lineRule="auto"/>
              <w:rPr>
                <w:rFonts w:ascii="Times New Roman" w:eastAsia="Times New Roman" w:hAnsi="Times New Roman" w:cs="Times New Roman"/>
                <w:color w:val="000000"/>
                <w:sz w:val="16"/>
                <w:szCs w:val="16"/>
                <w:vertAlign w:val="superscript"/>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первоначальная редакция,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843AE0" w:rsidRDefault="00843AE0" w:rsidP="00625741">
            <w:pPr>
              <w:pStyle w:val="Default"/>
              <w:jc w:val="center"/>
              <w:rPr>
                <w:sz w:val="16"/>
                <w:szCs w:val="16"/>
                <w:vertAlign w:val="superscript"/>
              </w:rPr>
            </w:pPr>
            <w:r>
              <w:rPr>
                <w:sz w:val="16"/>
                <w:szCs w:val="16"/>
                <w:vertAlign w:val="superscript"/>
              </w:rPr>
              <w:t>с учетом изменений (ред. от 27.09.2023г) рублей</w:t>
            </w:r>
          </w:p>
          <w:p w:rsidR="00843AE0" w:rsidRDefault="00843AE0" w:rsidP="00625741">
            <w:pPr>
              <w:pStyle w:val="Default"/>
              <w:jc w:val="center"/>
              <w:rPr>
                <w:sz w:val="16"/>
                <w:szCs w:val="16"/>
                <w:vertAlign w:val="superscript"/>
              </w:rPr>
            </w:pPr>
          </w:p>
          <w:p w:rsidR="00843AE0" w:rsidRDefault="00843AE0" w:rsidP="00625741">
            <w:pPr>
              <w:pStyle w:val="Default"/>
              <w:jc w:val="center"/>
              <w:rPr>
                <w:sz w:val="16"/>
                <w:szCs w:val="16"/>
                <w:vertAlign w:val="superscript"/>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на 2024 год</w:t>
            </w:r>
          </w:p>
        </w:tc>
        <w:tc>
          <w:tcPr>
            <w:tcW w:w="1985" w:type="dxa"/>
            <w:gridSpan w:val="3"/>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на 2025 год</w:t>
            </w:r>
          </w:p>
        </w:tc>
        <w:tc>
          <w:tcPr>
            <w:tcW w:w="1984" w:type="dxa"/>
            <w:gridSpan w:val="3"/>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на 2026 год</w:t>
            </w:r>
          </w:p>
        </w:tc>
      </w:tr>
      <w:tr w:rsidR="004417F0" w:rsidTr="004417F0">
        <w:trPr>
          <w:trHeight w:val="746"/>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843AE0" w:rsidRDefault="00843AE0" w:rsidP="00625741">
            <w:pPr>
              <w:suppressAutoHyphens w:val="0"/>
              <w:spacing w:after="0" w:line="240" w:lineRule="auto"/>
              <w:rPr>
                <w:rFonts w:ascii="Times New Roman" w:eastAsia="Times New Roman" w:hAnsi="Times New Roman" w:cs="Times New Roman"/>
                <w:color w:val="000000"/>
                <w:sz w:val="16"/>
                <w:szCs w:val="16"/>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AE0" w:rsidRDefault="00843AE0" w:rsidP="00625741">
            <w:pPr>
              <w:suppressAutoHyphens w:val="0"/>
              <w:spacing w:after="0" w:line="240" w:lineRule="auto"/>
              <w:rPr>
                <w:rFonts w:ascii="Times New Roman" w:eastAsia="Times New Roman" w:hAnsi="Times New Roman" w:cs="Times New Roman"/>
                <w:color w:val="000000"/>
                <w:sz w:val="16"/>
                <w:szCs w:val="16"/>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3AE0" w:rsidRDefault="00843AE0" w:rsidP="00625741">
            <w:pPr>
              <w:suppressAutoHyphens w:val="0"/>
              <w:spacing w:after="0" w:line="240" w:lineRule="auto"/>
              <w:rPr>
                <w:rFonts w:ascii="Times New Roman" w:eastAsia="Times New Roman" w:hAnsi="Times New Roman" w:cs="Times New Roman"/>
                <w:color w:val="000000"/>
                <w:sz w:val="16"/>
                <w:szCs w:val="16"/>
                <w:vertAlign w:val="superscript"/>
              </w:rPr>
            </w:pPr>
          </w:p>
        </w:tc>
        <w:tc>
          <w:tcPr>
            <w:tcW w:w="993" w:type="dxa"/>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рублей</w:t>
            </w:r>
          </w:p>
        </w:tc>
        <w:tc>
          <w:tcPr>
            <w:tcW w:w="567" w:type="dxa"/>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отношение к 2023 году, % к первоначальной редакции</w:t>
            </w:r>
          </w:p>
        </w:tc>
        <w:tc>
          <w:tcPr>
            <w:tcW w:w="708" w:type="dxa"/>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отношение к 2023 году, %с учетом изменений</w:t>
            </w:r>
          </w:p>
        </w:tc>
        <w:tc>
          <w:tcPr>
            <w:tcW w:w="567" w:type="dxa"/>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удельный вес, %</w:t>
            </w:r>
          </w:p>
        </w:tc>
        <w:tc>
          <w:tcPr>
            <w:tcW w:w="851" w:type="dxa"/>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рублей</w:t>
            </w:r>
          </w:p>
        </w:tc>
        <w:tc>
          <w:tcPr>
            <w:tcW w:w="567" w:type="dxa"/>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отношение к 2024 году, %</w:t>
            </w:r>
          </w:p>
        </w:tc>
        <w:tc>
          <w:tcPr>
            <w:tcW w:w="567" w:type="dxa"/>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удельный вес, %</w:t>
            </w:r>
          </w:p>
        </w:tc>
        <w:tc>
          <w:tcPr>
            <w:tcW w:w="850" w:type="dxa"/>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рублей</w:t>
            </w:r>
          </w:p>
        </w:tc>
        <w:tc>
          <w:tcPr>
            <w:tcW w:w="567" w:type="dxa"/>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отношение к 2025 году, %</w:t>
            </w:r>
          </w:p>
        </w:tc>
        <w:tc>
          <w:tcPr>
            <w:tcW w:w="567" w:type="dxa"/>
            <w:tcBorders>
              <w:top w:val="single" w:sz="4" w:space="0" w:color="auto"/>
              <w:left w:val="single" w:sz="4" w:space="0" w:color="auto"/>
              <w:bottom w:val="single" w:sz="4" w:space="0" w:color="auto"/>
              <w:right w:val="single" w:sz="4" w:space="0" w:color="auto"/>
            </w:tcBorders>
            <w:hideMark/>
          </w:tcPr>
          <w:p w:rsidR="00843AE0" w:rsidRDefault="00843AE0" w:rsidP="00625741">
            <w:pPr>
              <w:pStyle w:val="Default"/>
              <w:jc w:val="center"/>
              <w:rPr>
                <w:sz w:val="16"/>
                <w:szCs w:val="16"/>
                <w:vertAlign w:val="superscript"/>
              </w:rPr>
            </w:pPr>
            <w:r>
              <w:rPr>
                <w:sz w:val="16"/>
                <w:szCs w:val="16"/>
                <w:vertAlign w:val="superscript"/>
              </w:rPr>
              <w:t>удельный вес, %</w:t>
            </w:r>
          </w:p>
        </w:tc>
      </w:tr>
      <w:tr w:rsidR="004417F0" w:rsidRPr="00FB462F" w:rsidTr="004417F0">
        <w:trPr>
          <w:trHeight w:val="621"/>
        </w:trPr>
        <w:tc>
          <w:tcPr>
            <w:tcW w:w="1277" w:type="dxa"/>
            <w:tcBorders>
              <w:top w:val="single" w:sz="4" w:space="0" w:color="auto"/>
              <w:left w:val="single" w:sz="4" w:space="0" w:color="auto"/>
              <w:bottom w:val="single" w:sz="4" w:space="0" w:color="auto"/>
              <w:right w:val="single" w:sz="4" w:space="0" w:color="auto"/>
            </w:tcBorders>
            <w:vAlign w:val="center"/>
            <w:hideMark/>
          </w:tcPr>
          <w:p w:rsidR="005D186C" w:rsidRDefault="005D186C" w:rsidP="00625741">
            <w:pPr>
              <w:spacing w:after="0" w:line="240" w:lineRule="auto"/>
              <w:rPr>
                <w:rFonts w:ascii="Times New Roman" w:hAnsi="Times New Roman" w:cs="Times New Roman"/>
                <w:vertAlign w:val="superscript"/>
              </w:rPr>
            </w:pPr>
            <w:r>
              <w:rPr>
                <w:rFonts w:ascii="Times New Roman" w:hAnsi="Times New Roman" w:cs="Times New Roman"/>
                <w:vertAlign w:val="superscript"/>
              </w:rPr>
              <w:t xml:space="preserve">01.00 Общегосударственные расходы, </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Default="005D186C" w:rsidP="000900D8">
            <w:pPr>
              <w:widowControl w:val="0"/>
              <w:spacing w:after="0" w:line="240" w:lineRule="auto"/>
              <w:jc w:val="center"/>
              <w:rPr>
                <w:vertAlign w:val="superscript"/>
              </w:rPr>
            </w:pPr>
            <w:r>
              <w:rPr>
                <w:vertAlign w:val="superscript"/>
              </w:rPr>
              <w:t>2 436 136,95</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2663F1" w:rsidP="000900D8">
            <w:pPr>
              <w:suppressAutoHyphens w:val="0"/>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color w:val="000000"/>
                <w:sz w:val="18"/>
                <w:szCs w:val="18"/>
                <w:vertAlign w:val="superscript"/>
              </w:rPr>
              <w:t>3 513 166,47</w:t>
            </w:r>
          </w:p>
        </w:tc>
        <w:tc>
          <w:tcPr>
            <w:tcW w:w="993"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4 055 223,75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A6342D" w:rsidP="000900D8">
            <w:pPr>
              <w:pStyle w:val="Default"/>
              <w:jc w:val="center"/>
              <w:rPr>
                <w:sz w:val="18"/>
                <w:szCs w:val="18"/>
                <w:vertAlign w:val="superscript"/>
              </w:rPr>
            </w:pPr>
            <w:r>
              <w:rPr>
                <w:sz w:val="18"/>
                <w:szCs w:val="18"/>
                <w:vertAlign w:val="superscript"/>
              </w:rPr>
              <w:t>166,46</w:t>
            </w:r>
          </w:p>
        </w:tc>
        <w:tc>
          <w:tcPr>
            <w:tcW w:w="708"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A6342D" w:rsidP="000900D8">
            <w:pPr>
              <w:pStyle w:val="Default"/>
              <w:jc w:val="center"/>
              <w:rPr>
                <w:sz w:val="18"/>
                <w:szCs w:val="18"/>
                <w:vertAlign w:val="superscript"/>
              </w:rPr>
            </w:pPr>
            <w:r>
              <w:rPr>
                <w:sz w:val="18"/>
                <w:szCs w:val="18"/>
                <w:vertAlign w:val="superscript"/>
              </w:rPr>
              <w:t>115,43</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8C5EEA" w:rsidP="000900D8">
            <w:pPr>
              <w:pStyle w:val="Default"/>
              <w:jc w:val="center"/>
              <w:rPr>
                <w:sz w:val="18"/>
                <w:szCs w:val="18"/>
                <w:vertAlign w:val="superscript"/>
              </w:rPr>
            </w:pPr>
            <w:r>
              <w:rPr>
                <w:sz w:val="18"/>
                <w:szCs w:val="18"/>
                <w:vertAlign w:val="superscript"/>
              </w:rPr>
              <w:t>40,27</w:t>
            </w:r>
          </w:p>
        </w:tc>
        <w:tc>
          <w:tcPr>
            <w:tcW w:w="851"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2 891 667,00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8C5EEA" w:rsidP="000900D8">
            <w:pPr>
              <w:pStyle w:val="Default"/>
              <w:jc w:val="center"/>
              <w:rPr>
                <w:sz w:val="18"/>
                <w:szCs w:val="18"/>
                <w:vertAlign w:val="superscript"/>
              </w:rPr>
            </w:pPr>
            <w:r>
              <w:rPr>
                <w:sz w:val="18"/>
                <w:szCs w:val="18"/>
                <w:vertAlign w:val="superscript"/>
              </w:rPr>
              <w:t>71,31</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8C5EEA" w:rsidP="000900D8">
            <w:pPr>
              <w:pStyle w:val="Default"/>
              <w:jc w:val="center"/>
              <w:rPr>
                <w:sz w:val="18"/>
                <w:szCs w:val="18"/>
                <w:vertAlign w:val="superscript"/>
              </w:rPr>
            </w:pPr>
            <w:r>
              <w:rPr>
                <w:sz w:val="18"/>
                <w:szCs w:val="18"/>
                <w:vertAlign w:val="superscript"/>
              </w:rPr>
              <w:t>31,72</w:t>
            </w:r>
          </w:p>
        </w:tc>
        <w:tc>
          <w:tcPr>
            <w:tcW w:w="850"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2 479 028,52</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8C5EEA" w:rsidP="000900D8">
            <w:pPr>
              <w:pStyle w:val="Default"/>
              <w:jc w:val="center"/>
              <w:rPr>
                <w:sz w:val="18"/>
                <w:szCs w:val="18"/>
                <w:vertAlign w:val="superscript"/>
              </w:rPr>
            </w:pPr>
            <w:r>
              <w:rPr>
                <w:sz w:val="18"/>
                <w:szCs w:val="18"/>
                <w:vertAlign w:val="superscript"/>
              </w:rPr>
              <w:t>85,73</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8C5EEA" w:rsidP="000900D8">
            <w:pPr>
              <w:pStyle w:val="Default"/>
              <w:jc w:val="center"/>
              <w:rPr>
                <w:sz w:val="18"/>
                <w:szCs w:val="18"/>
                <w:vertAlign w:val="superscript"/>
              </w:rPr>
            </w:pPr>
            <w:r>
              <w:rPr>
                <w:sz w:val="18"/>
                <w:szCs w:val="18"/>
                <w:vertAlign w:val="superscript"/>
              </w:rPr>
              <w:t>26,10</w:t>
            </w:r>
          </w:p>
        </w:tc>
      </w:tr>
      <w:tr w:rsidR="005D186C" w:rsidRPr="00FB462F" w:rsidTr="004417F0">
        <w:trPr>
          <w:trHeight w:val="621"/>
        </w:trPr>
        <w:tc>
          <w:tcPr>
            <w:tcW w:w="1277" w:type="dxa"/>
            <w:tcBorders>
              <w:top w:val="single" w:sz="4" w:space="0" w:color="auto"/>
              <w:left w:val="single" w:sz="4" w:space="0" w:color="auto"/>
              <w:bottom w:val="single" w:sz="4" w:space="0" w:color="auto"/>
              <w:right w:val="single" w:sz="4" w:space="0" w:color="auto"/>
            </w:tcBorders>
            <w:hideMark/>
          </w:tcPr>
          <w:p w:rsidR="005D186C" w:rsidRDefault="005D186C" w:rsidP="00625741">
            <w:pPr>
              <w:spacing w:after="0" w:line="240" w:lineRule="auto"/>
              <w:jc w:val="both"/>
              <w:rPr>
                <w:vertAlign w:val="superscript"/>
              </w:rPr>
            </w:pPr>
            <w:r>
              <w:rPr>
                <w:rFonts w:ascii="Times New Roman" w:eastAsia="Times New Roman" w:hAnsi="Times New Roman" w:cs="Times New Roman"/>
                <w:vertAlign w:val="superscript"/>
              </w:rPr>
              <w:t>02,00 Национальная оборона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Default="005D186C" w:rsidP="000900D8">
            <w:pPr>
              <w:widowControl w:val="0"/>
              <w:spacing w:after="0" w:line="240" w:lineRule="auto"/>
              <w:jc w:val="center"/>
              <w:rPr>
                <w:vertAlign w:val="superscript"/>
              </w:rPr>
            </w:pPr>
            <w:r>
              <w:rPr>
                <w:vertAlign w:val="superscript"/>
              </w:rPr>
              <w:t>199 853,00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2663F1" w:rsidP="000900D8">
            <w:pPr>
              <w:suppressAutoHyphens w:val="0"/>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color w:val="000000"/>
                <w:sz w:val="18"/>
                <w:szCs w:val="18"/>
                <w:vertAlign w:val="superscript"/>
              </w:rPr>
              <w:t>199 853,00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793317" w:rsidP="000900D8">
            <w:pPr>
              <w:pStyle w:val="Default"/>
              <w:jc w:val="center"/>
              <w:rPr>
                <w:sz w:val="18"/>
                <w:szCs w:val="18"/>
                <w:vertAlign w:val="superscript"/>
              </w:rPr>
            </w:pPr>
            <w:r>
              <w:rPr>
                <w:sz w:val="18"/>
                <w:szCs w:val="18"/>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5D186C" w:rsidRDefault="00793317" w:rsidP="000900D8">
            <w:pPr>
              <w:pStyle w:val="Default"/>
              <w:jc w:val="center"/>
              <w:rPr>
                <w:sz w:val="18"/>
                <w:szCs w:val="18"/>
                <w:vertAlign w:val="superscript"/>
              </w:rPr>
            </w:pPr>
            <w:r>
              <w:rPr>
                <w:sz w:val="18"/>
                <w:szCs w:val="18"/>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793317" w:rsidP="000900D8">
            <w:pPr>
              <w:pStyle w:val="Default"/>
              <w:jc w:val="center"/>
              <w:rPr>
                <w:sz w:val="18"/>
                <w:szCs w:val="18"/>
                <w:vertAlign w:val="superscript"/>
              </w:rPr>
            </w:pPr>
            <w:r>
              <w:rPr>
                <w:sz w:val="18"/>
                <w:szCs w:val="18"/>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793317" w:rsidP="000900D8">
            <w:pPr>
              <w:pStyle w:val="Default"/>
              <w:jc w:val="center"/>
              <w:rPr>
                <w:sz w:val="18"/>
                <w:szCs w:val="18"/>
                <w:vertAlign w:val="superscript"/>
              </w:rPr>
            </w:pPr>
            <w:r>
              <w:rPr>
                <w:sz w:val="18"/>
                <w:szCs w:val="18"/>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793317" w:rsidP="000900D8">
            <w:pPr>
              <w:pStyle w:val="Default"/>
              <w:jc w:val="center"/>
              <w:rPr>
                <w:sz w:val="18"/>
                <w:szCs w:val="18"/>
                <w:vertAlign w:val="superscript"/>
              </w:rPr>
            </w:pPr>
            <w:r>
              <w:rPr>
                <w:sz w:val="18"/>
                <w:szCs w:val="18"/>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793317" w:rsidP="000900D8">
            <w:pPr>
              <w:pStyle w:val="Default"/>
              <w:jc w:val="center"/>
              <w:rPr>
                <w:sz w:val="18"/>
                <w:szCs w:val="18"/>
                <w:vertAlign w:val="superscript"/>
              </w:rPr>
            </w:pPr>
            <w:r>
              <w:rPr>
                <w:sz w:val="18"/>
                <w:szCs w:val="18"/>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793317" w:rsidP="000900D8">
            <w:pPr>
              <w:pStyle w:val="Default"/>
              <w:jc w:val="center"/>
              <w:rPr>
                <w:sz w:val="18"/>
                <w:szCs w:val="18"/>
                <w:vertAlign w:val="superscript"/>
              </w:rPr>
            </w:pPr>
            <w:r>
              <w:rPr>
                <w:sz w:val="18"/>
                <w:szCs w:val="18"/>
                <w:vertAlign w:val="superscript"/>
              </w:rPr>
              <w:t>-</w:t>
            </w:r>
          </w:p>
        </w:tc>
      </w:tr>
      <w:tr w:rsidR="005D186C" w:rsidRPr="00FB462F" w:rsidTr="004417F0">
        <w:trPr>
          <w:trHeight w:val="621"/>
        </w:trPr>
        <w:tc>
          <w:tcPr>
            <w:tcW w:w="1277" w:type="dxa"/>
            <w:tcBorders>
              <w:top w:val="single" w:sz="4" w:space="0" w:color="auto"/>
              <w:left w:val="single" w:sz="4" w:space="0" w:color="auto"/>
              <w:bottom w:val="single" w:sz="4" w:space="0" w:color="auto"/>
              <w:right w:val="single" w:sz="4" w:space="0" w:color="auto"/>
            </w:tcBorders>
            <w:hideMark/>
          </w:tcPr>
          <w:p w:rsidR="005D186C" w:rsidRDefault="005D186C" w:rsidP="00625741">
            <w:pPr>
              <w:spacing w:after="0" w:line="240" w:lineRule="auto"/>
              <w:jc w:val="both"/>
              <w:rPr>
                <w:vertAlign w:val="superscript"/>
              </w:rPr>
            </w:pPr>
            <w:r>
              <w:rPr>
                <w:rFonts w:ascii="Times New Roman" w:eastAsia="Times New Roman" w:hAnsi="Times New Roman" w:cs="Times New Roman"/>
                <w:vertAlign w:val="superscript"/>
              </w:rPr>
              <w:t>03,00Национальная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Default="005D186C" w:rsidP="000900D8">
            <w:pPr>
              <w:widowControl w:val="0"/>
              <w:spacing w:after="0" w:line="240" w:lineRule="auto"/>
              <w:jc w:val="center"/>
              <w:rPr>
                <w:vertAlign w:val="superscript"/>
              </w:rPr>
            </w:pPr>
            <w:r>
              <w:rPr>
                <w:vertAlign w:val="superscript"/>
              </w:rPr>
              <w:t>17 000,00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0900D8" w:rsidP="000900D8">
            <w:pPr>
              <w:suppressAutoHyphens w:val="0"/>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color w:val="000000"/>
                <w:sz w:val="18"/>
                <w:szCs w:val="18"/>
                <w:vertAlign w:val="superscript"/>
              </w:rPr>
              <w:t>196 204,00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21 211,65</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A6342D" w:rsidP="000900D8">
            <w:pPr>
              <w:pStyle w:val="Default"/>
              <w:jc w:val="center"/>
              <w:rPr>
                <w:sz w:val="18"/>
                <w:szCs w:val="18"/>
                <w:vertAlign w:val="superscript"/>
              </w:rPr>
            </w:pPr>
            <w:r>
              <w:rPr>
                <w:sz w:val="18"/>
                <w:szCs w:val="18"/>
                <w:vertAlign w:val="superscript"/>
              </w:rPr>
              <w:t>124,77</w:t>
            </w:r>
          </w:p>
        </w:tc>
        <w:tc>
          <w:tcPr>
            <w:tcW w:w="708" w:type="dxa"/>
            <w:tcBorders>
              <w:top w:val="single" w:sz="4" w:space="0" w:color="auto"/>
              <w:left w:val="single" w:sz="4" w:space="0" w:color="auto"/>
              <w:bottom w:val="single" w:sz="4" w:space="0" w:color="auto"/>
              <w:right w:val="single" w:sz="4" w:space="0" w:color="auto"/>
            </w:tcBorders>
            <w:vAlign w:val="center"/>
            <w:hideMark/>
          </w:tcPr>
          <w:p w:rsidR="005D186C" w:rsidRDefault="00A6342D" w:rsidP="000900D8">
            <w:pPr>
              <w:pStyle w:val="Default"/>
              <w:jc w:val="center"/>
              <w:rPr>
                <w:sz w:val="18"/>
                <w:szCs w:val="18"/>
                <w:vertAlign w:val="superscript"/>
              </w:rPr>
            </w:pPr>
            <w:r>
              <w:rPr>
                <w:sz w:val="18"/>
                <w:szCs w:val="18"/>
                <w:vertAlign w:val="superscript"/>
              </w:rPr>
              <w:t>10,81</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62 849,42</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296,30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0,69</w:t>
            </w:r>
          </w:p>
        </w:tc>
        <w:tc>
          <w:tcPr>
            <w:tcW w:w="850"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163 411,65</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260,01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1,7</w:t>
            </w:r>
            <w:r w:rsidR="00813005">
              <w:rPr>
                <w:sz w:val="18"/>
                <w:szCs w:val="18"/>
                <w:vertAlign w:val="superscript"/>
              </w:rPr>
              <w:t>1</w:t>
            </w:r>
          </w:p>
        </w:tc>
      </w:tr>
      <w:tr w:rsidR="005D186C" w:rsidRPr="00FB462F" w:rsidTr="004417F0">
        <w:trPr>
          <w:trHeight w:val="621"/>
        </w:trPr>
        <w:tc>
          <w:tcPr>
            <w:tcW w:w="1277" w:type="dxa"/>
            <w:tcBorders>
              <w:top w:val="single" w:sz="4" w:space="0" w:color="auto"/>
              <w:left w:val="single" w:sz="4" w:space="0" w:color="auto"/>
              <w:bottom w:val="single" w:sz="4" w:space="0" w:color="auto"/>
              <w:right w:val="single" w:sz="4" w:space="0" w:color="auto"/>
            </w:tcBorders>
            <w:hideMark/>
          </w:tcPr>
          <w:p w:rsidR="005D186C" w:rsidRDefault="005D186C" w:rsidP="00625741">
            <w:pPr>
              <w:spacing w:after="0" w:line="240" w:lineRule="auto"/>
              <w:jc w:val="both"/>
              <w:rPr>
                <w:vertAlign w:val="superscript"/>
              </w:rPr>
            </w:pPr>
            <w:r>
              <w:rPr>
                <w:rFonts w:ascii="Times New Roman" w:eastAsia="Times New Roman" w:hAnsi="Times New Roman" w:cs="Times New Roman"/>
                <w:vertAlign w:val="superscript"/>
              </w:rPr>
              <w:t>04,00Национальная экономика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Default="005D186C" w:rsidP="000900D8">
            <w:pPr>
              <w:widowControl w:val="0"/>
              <w:spacing w:after="0" w:line="240" w:lineRule="auto"/>
              <w:jc w:val="center"/>
              <w:rPr>
                <w:vertAlign w:val="superscript"/>
              </w:rPr>
            </w:pPr>
            <w:r>
              <w:rPr>
                <w:vertAlign w:val="superscript"/>
              </w:rPr>
              <w:t>1 650 620,00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0900D8" w:rsidP="000900D8">
            <w:pPr>
              <w:suppressAutoHyphens w:val="0"/>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color w:val="000000"/>
                <w:sz w:val="18"/>
                <w:szCs w:val="18"/>
                <w:vertAlign w:val="superscript"/>
              </w:rPr>
              <w:t>3 678 907,29</w:t>
            </w:r>
          </w:p>
        </w:tc>
        <w:tc>
          <w:tcPr>
            <w:tcW w:w="993"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1 780 286,00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107,86</w:t>
            </w:r>
          </w:p>
        </w:tc>
        <w:tc>
          <w:tcPr>
            <w:tcW w:w="708"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48,39</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17,68</w:t>
            </w:r>
          </w:p>
        </w:tc>
        <w:tc>
          <w:tcPr>
            <w:tcW w:w="851"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1 852 613,00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104,06</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20,32</w:t>
            </w:r>
          </w:p>
        </w:tc>
        <w:tc>
          <w:tcPr>
            <w:tcW w:w="850"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2 465 959,00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133,11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25,96</w:t>
            </w:r>
          </w:p>
        </w:tc>
      </w:tr>
      <w:tr w:rsidR="005D186C" w:rsidRPr="00FB462F" w:rsidTr="004417F0">
        <w:trPr>
          <w:trHeight w:val="621"/>
        </w:trPr>
        <w:tc>
          <w:tcPr>
            <w:tcW w:w="1277" w:type="dxa"/>
            <w:tcBorders>
              <w:top w:val="single" w:sz="4" w:space="0" w:color="auto"/>
              <w:left w:val="single" w:sz="4" w:space="0" w:color="auto"/>
              <w:bottom w:val="single" w:sz="4" w:space="0" w:color="auto"/>
              <w:right w:val="single" w:sz="4" w:space="0" w:color="auto"/>
            </w:tcBorders>
            <w:hideMark/>
          </w:tcPr>
          <w:p w:rsidR="005D186C" w:rsidRDefault="005D186C" w:rsidP="00625741">
            <w:pPr>
              <w:spacing w:after="0" w:line="240" w:lineRule="auto"/>
              <w:jc w:val="both"/>
              <w:rPr>
                <w:vertAlign w:val="superscript"/>
              </w:rPr>
            </w:pPr>
            <w:r>
              <w:rPr>
                <w:rFonts w:ascii="Times New Roman" w:eastAsia="Times New Roman" w:hAnsi="Times New Roman" w:cs="Times New Roman"/>
                <w:vertAlign w:val="superscript"/>
              </w:rPr>
              <w:t>05,00 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Default="005D186C" w:rsidP="000900D8">
            <w:pPr>
              <w:widowControl w:val="0"/>
              <w:spacing w:after="0" w:line="240" w:lineRule="auto"/>
              <w:jc w:val="center"/>
              <w:rPr>
                <w:vertAlign w:val="superscript"/>
              </w:rPr>
            </w:pPr>
            <w:r>
              <w:rPr>
                <w:vertAlign w:val="superscript"/>
              </w:rPr>
              <w:t>415 260,00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0900D8" w:rsidP="000900D8">
            <w:pPr>
              <w:suppressAutoHyphens w:val="0"/>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color w:val="000000"/>
                <w:sz w:val="18"/>
                <w:szCs w:val="18"/>
                <w:vertAlign w:val="superscript"/>
              </w:rPr>
              <w:t>5 220 490,53</w:t>
            </w:r>
          </w:p>
        </w:tc>
        <w:tc>
          <w:tcPr>
            <w:tcW w:w="993"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476 474,00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114,74</w:t>
            </w:r>
          </w:p>
        </w:tc>
        <w:tc>
          <w:tcPr>
            <w:tcW w:w="708"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9,13</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4,73</w:t>
            </w:r>
          </w:p>
        </w:tc>
        <w:tc>
          <w:tcPr>
            <w:tcW w:w="851"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409 980,00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86,04</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4,50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357 320,00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87,16</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13005" w:rsidP="000900D8">
            <w:pPr>
              <w:pStyle w:val="Default"/>
              <w:jc w:val="center"/>
              <w:rPr>
                <w:sz w:val="18"/>
                <w:szCs w:val="18"/>
                <w:vertAlign w:val="superscript"/>
              </w:rPr>
            </w:pPr>
            <w:r>
              <w:rPr>
                <w:sz w:val="18"/>
                <w:szCs w:val="18"/>
                <w:vertAlign w:val="superscript"/>
              </w:rPr>
              <w:t>3,76</w:t>
            </w:r>
          </w:p>
        </w:tc>
      </w:tr>
      <w:tr w:rsidR="005D186C" w:rsidRPr="00FB462F" w:rsidTr="004417F0">
        <w:trPr>
          <w:trHeight w:val="621"/>
        </w:trPr>
        <w:tc>
          <w:tcPr>
            <w:tcW w:w="1277" w:type="dxa"/>
            <w:tcBorders>
              <w:top w:val="single" w:sz="4" w:space="0" w:color="auto"/>
              <w:left w:val="single" w:sz="4" w:space="0" w:color="auto"/>
              <w:bottom w:val="single" w:sz="4" w:space="0" w:color="auto"/>
              <w:right w:val="single" w:sz="4" w:space="0" w:color="auto"/>
            </w:tcBorders>
            <w:hideMark/>
          </w:tcPr>
          <w:p w:rsidR="005D186C" w:rsidRDefault="005D186C" w:rsidP="00625741">
            <w:pPr>
              <w:spacing w:after="0" w:line="240" w:lineRule="auto"/>
              <w:jc w:val="both"/>
              <w:rPr>
                <w:vertAlign w:val="superscript"/>
              </w:rPr>
            </w:pPr>
            <w:r>
              <w:rPr>
                <w:rFonts w:ascii="Times New Roman" w:eastAsia="Times New Roman" w:hAnsi="Times New Roman" w:cs="Times New Roman"/>
                <w:vertAlign w:val="superscript"/>
              </w:rPr>
              <w:t>07,00 Образование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Default="005D186C" w:rsidP="000900D8">
            <w:pPr>
              <w:widowControl w:val="0"/>
              <w:spacing w:after="0" w:line="240" w:lineRule="auto"/>
              <w:jc w:val="center"/>
              <w:rPr>
                <w:vertAlign w:val="superscript"/>
              </w:rPr>
            </w:pPr>
            <w:r>
              <w:rPr>
                <w:vertAlign w:val="superscript"/>
              </w:rPr>
              <w:t>15 000,00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0900D8" w:rsidP="000900D8">
            <w:pPr>
              <w:suppressAutoHyphens w:val="0"/>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color w:val="000000"/>
                <w:sz w:val="18"/>
                <w:szCs w:val="18"/>
                <w:vertAlign w:val="superscript"/>
              </w:rPr>
              <w:t>9 320,00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11 500,00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76,67</w:t>
            </w:r>
          </w:p>
        </w:tc>
        <w:tc>
          <w:tcPr>
            <w:tcW w:w="708"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123,39</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0,11</w:t>
            </w:r>
          </w:p>
        </w:tc>
        <w:tc>
          <w:tcPr>
            <w:tcW w:w="851"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10 800,00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93,91</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0,12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8 300,00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76,85</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13005" w:rsidP="000900D8">
            <w:pPr>
              <w:pStyle w:val="Default"/>
              <w:jc w:val="center"/>
              <w:rPr>
                <w:sz w:val="18"/>
                <w:szCs w:val="18"/>
                <w:vertAlign w:val="superscript"/>
              </w:rPr>
            </w:pPr>
            <w:r>
              <w:rPr>
                <w:sz w:val="18"/>
                <w:szCs w:val="18"/>
                <w:vertAlign w:val="superscript"/>
              </w:rPr>
              <w:t>0,09</w:t>
            </w:r>
          </w:p>
        </w:tc>
      </w:tr>
      <w:tr w:rsidR="005D186C" w:rsidRPr="00FB462F" w:rsidTr="004417F0">
        <w:trPr>
          <w:trHeight w:val="621"/>
        </w:trPr>
        <w:tc>
          <w:tcPr>
            <w:tcW w:w="1277" w:type="dxa"/>
            <w:tcBorders>
              <w:top w:val="single" w:sz="4" w:space="0" w:color="auto"/>
              <w:left w:val="single" w:sz="4" w:space="0" w:color="auto"/>
              <w:bottom w:val="single" w:sz="4" w:space="0" w:color="auto"/>
              <w:right w:val="single" w:sz="4" w:space="0" w:color="auto"/>
            </w:tcBorders>
            <w:hideMark/>
          </w:tcPr>
          <w:p w:rsidR="005D186C" w:rsidRDefault="005D186C" w:rsidP="00625741">
            <w:pPr>
              <w:spacing w:after="0" w:line="240" w:lineRule="auto"/>
              <w:jc w:val="both"/>
              <w:rPr>
                <w:vertAlign w:val="superscript"/>
              </w:rPr>
            </w:pPr>
            <w:r>
              <w:rPr>
                <w:rFonts w:ascii="Times New Roman" w:eastAsia="Times New Roman" w:hAnsi="Times New Roman" w:cs="Times New Roman"/>
                <w:vertAlign w:val="superscript"/>
              </w:rPr>
              <w:t>08,00 Культура, кинематография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Default="005D186C" w:rsidP="000900D8">
            <w:pPr>
              <w:widowControl w:val="0"/>
              <w:spacing w:after="0" w:line="240" w:lineRule="auto"/>
              <w:jc w:val="center"/>
              <w:rPr>
                <w:vertAlign w:val="superscript"/>
              </w:rPr>
            </w:pPr>
            <w:r>
              <w:rPr>
                <w:vertAlign w:val="superscript"/>
              </w:rPr>
              <w:t>3 586 120,00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0900D8" w:rsidP="000900D8">
            <w:pPr>
              <w:suppressAutoHyphens w:val="0"/>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color w:val="000000"/>
                <w:sz w:val="18"/>
                <w:szCs w:val="18"/>
                <w:vertAlign w:val="superscript"/>
              </w:rPr>
              <w:t>3 616 904,64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3 660 366,25</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102,07</w:t>
            </w:r>
          </w:p>
        </w:tc>
        <w:tc>
          <w:tcPr>
            <w:tcW w:w="708"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101,20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36,35</w:t>
            </w:r>
          </w:p>
        </w:tc>
        <w:tc>
          <w:tcPr>
            <w:tcW w:w="851"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3 840 654,00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104,93</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42,13</w:t>
            </w:r>
          </w:p>
        </w:tc>
        <w:tc>
          <w:tcPr>
            <w:tcW w:w="850"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3 946 940,00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102,77</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13005" w:rsidP="000900D8">
            <w:pPr>
              <w:pStyle w:val="Default"/>
              <w:jc w:val="center"/>
              <w:rPr>
                <w:sz w:val="18"/>
                <w:szCs w:val="18"/>
                <w:vertAlign w:val="superscript"/>
              </w:rPr>
            </w:pPr>
            <w:r>
              <w:rPr>
                <w:sz w:val="18"/>
                <w:szCs w:val="18"/>
                <w:vertAlign w:val="superscript"/>
              </w:rPr>
              <w:t>41,55</w:t>
            </w:r>
          </w:p>
        </w:tc>
      </w:tr>
      <w:tr w:rsidR="005D186C" w:rsidRPr="00FB462F" w:rsidTr="004417F0">
        <w:trPr>
          <w:trHeight w:val="621"/>
        </w:trPr>
        <w:tc>
          <w:tcPr>
            <w:tcW w:w="1277" w:type="dxa"/>
            <w:tcBorders>
              <w:top w:val="single" w:sz="4" w:space="0" w:color="auto"/>
              <w:left w:val="single" w:sz="4" w:space="0" w:color="auto"/>
              <w:bottom w:val="single" w:sz="4" w:space="0" w:color="auto"/>
              <w:right w:val="single" w:sz="4" w:space="0" w:color="auto"/>
            </w:tcBorders>
            <w:hideMark/>
          </w:tcPr>
          <w:p w:rsidR="005D186C" w:rsidRDefault="005D186C" w:rsidP="00625741">
            <w:pPr>
              <w:spacing w:after="0" w:line="240" w:lineRule="auto"/>
              <w:jc w:val="both"/>
              <w:rPr>
                <w:vertAlign w:val="superscript"/>
              </w:rPr>
            </w:pPr>
            <w:r>
              <w:rPr>
                <w:rFonts w:ascii="Times New Roman" w:eastAsia="Times New Roman" w:hAnsi="Times New Roman" w:cs="Times New Roman"/>
                <w:vertAlign w:val="superscript"/>
              </w:rPr>
              <w:t>11,00 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Default="005D186C" w:rsidP="000900D8">
            <w:pPr>
              <w:widowControl w:val="0"/>
              <w:spacing w:after="0" w:line="240" w:lineRule="auto"/>
              <w:jc w:val="center"/>
              <w:rPr>
                <w:vertAlign w:val="superscript"/>
              </w:rPr>
            </w:pPr>
            <w:r>
              <w:rPr>
                <w:vertAlign w:val="superscript"/>
              </w:rPr>
              <w:t>95 000,00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0900D8" w:rsidP="000900D8">
            <w:pPr>
              <w:suppressAutoHyphens w:val="0"/>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color w:val="000000"/>
                <w:sz w:val="18"/>
                <w:szCs w:val="18"/>
                <w:vertAlign w:val="superscript"/>
              </w:rPr>
              <w:t>185 000,00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65 000,00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68,42</w:t>
            </w:r>
          </w:p>
        </w:tc>
        <w:tc>
          <w:tcPr>
            <w:tcW w:w="708"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35,14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0,65</w:t>
            </w:r>
          </w:p>
        </w:tc>
        <w:tc>
          <w:tcPr>
            <w:tcW w:w="851"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47 600,00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73,23</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0,52</w:t>
            </w:r>
          </w:p>
        </w:tc>
        <w:tc>
          <w:tcPr>
            <w:tcW w:w="850" w:type="dxa"/>
            <w:tcBorders>
              <w:top w:val="single" w:sz="4" w:space="0" w:color="auto"/>
              <w:left w:val="single" w:sz="4" w:space="0" w:color="auto"/>
              <w:bottom w:val="single" w:sz="4" w:space="0" w:color="auto"/>
              <w:right w:val="single" w:sz="4" w:space="0" w:color="auto"/>
            </w:tcBorders>
            <w:vAlign w:val="center"/>
            <w:hideMark/>
          </w:tcPr>
          <w:p w:rsidR="005D186C" w:rsidRPr="00FB462F" w:rsidRDefault="00793317" w:rsidP="000900D8">
            <w:pPr>
              <w:pStyle w:val="Default"/>
              <w:jc w:val="center"/>
              <w:rPr>
                <w:sz w:val="18"/>
                <w:szCs w:val="18"/>
                <w:vertAlign w:val="superscript"/>
              </w:rPr>
            </w:pPr>
            <w:r>
              <w:rPr>
                <w:sz w:val="18"/>
                <w:szCs w:val="18"/>
                <w:vertAlign w:val="superscript"/>
              </w:rPr>
              <w:t>78 500,00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C5EEA" w:rsidP="000900D8">
            <w:pPr>
              <w:pStyle w:val="Default"/>
              <w:jc w:val="center"/>
              <w:rPr>
                <w:sz w:val="18"/>
                <w:szCs w:val="18"/>
                <w:vertAlign w:val="superscript"/>
              </w:rPr>
            </w:pPr>
            <w:r>
              <w:rPr>
                <w:sz w:val="18"/>
                <w:szCs w:val="18"/>
                <w:vertAlign w:val="superscript"/>
              </w:rPr>
              <w:t>164,92</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86C" w:rsidRDefault="00813005" w:rsidP="000900D8">
            <w:pPr>
              <w:pStyle w:val="Default"/>
              <w:jc w:val="center"/>
              <w:rPr>
                <w:sz w:val="18"/>
                <w:szCs w:val="18"/>
                <w:vertAlign w:val="superscript"/>
              </w:rPr>
            </w:pPr>
            <w:r>
              <w:rPr>
                <w:sz w:val="18"/>
                <w:szCs w:val="18"/>
                <w:vertAlign w:val="superscript"/>
              </w:rPr>
              <w:t>0,83</w:t>
            </w:r>
          </w:p>
        </w:tc>
      </w:tr>
      <w:tr w:rsidR="005D186C" w:rsidRPr="00FB462F" w:rsidTr="004417F0">
        <w:trPr>
          <w:trHeight w:val="621"/>
        </w:trPr>
        <w:tc>
          <w:tcPr>
            <w:tcW w:w="1277" w:type="dxa"/>
            <w:tcBorders>
              <w:top w:val="single" w:sz="4" w:space="0" w:color="auto"/>
              <w:left w:val="single" w:sz="4" w:space="0" w:color="auto"/>
              <w:bottom w:val="single" w:sz="4" w:space="0" w:color="auto"/>
              <w:right w:val="single" w:sz="4" w:space="0" w:color="auto"/>
            </w:tcBorders>
          </w:tcPr>
          <w:p w:rsidR="005D186C" w:rsidRDefault="005D186C" w:rsidP="00625741">
            <w:pPr>
              <w:spacing w:after="0" w:line="240" w:lineRule="auto"/>
              <w:jc w:val="both"/>
              <w:rPr>
                <w:b/>
                <w:vertAlign w:val="superscript"/>
              </w:rPr>
            </w:pPr>
            <w:r>
              <w:rPr>
                <w:rFonts w:ascii="Times New Roman" w:eastAsia="Times New Roman" w:hAnsi="Times New Roman" w:cs="Times New Roman"/>
                <w:b/>
                <w:vertAlign w:val="superscript"/>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5D186C" w:rsidRDefault="005D186C" w:rsidP="000900D8">
            <w:pPr>
              <w:widowControl w:val="0"/>
              <w:spacing w:after="0" w:line="240" w:lineRule="auto"/>
              <w:jc w:val="center"/>
              <w:rPr>
                <w:b/>
                <w:vertAlign w:val="superscript"/>
              </w:rPr>
            </w:pPr>
            <w:r>
              <w:rPr>
                <w:b/>
                <w:vertAlign w:val="superscript"/>
              </w:rPr>
              <w:t>8 414 989,95</w:t>
            </w:r>
          </w:p>
        </w:tc>
        <w:tc>
          <w:tcPr>
            <w:tcW w:w="992" w:type="dxa"/>
            <w:tcBorders>
              <w:top w:val="single" w:sz="4" w:space="0" w:color="auto"/>
              <w:left w:val="single" w:sz="4" w:space="0" w:color="auto"/>
              <w:bottom w:val="single" w:sz="4" w:space="0" w:color="auto"/>
              <w:right w:val="single" w:sz="4" w:space="0" w:color="auto"/>
            </w:tcBorders>
            <w:vAlign w:val="center"/>
          </w:tcPr>
          <w:p w:rsidR="005D186C" w:rsidRPr="00FB462F" w:rsidRDefault="000900D8" w:rsidP="000900D8">
            <w:pPr>
              <w:suppressAutoHyphens w:val="0"/>
              <w:spacing w:after="0" w:line="240" w:lineRule="auto"/>
              <w:jc w:val="cente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color w:val="000000"/>
                <w:sz w:val="18"/>
                <w:szCs w:val="18"/>
                <w:vertAlign w:val="superscript"/>
              </w:rPr>
              <w:t>16 619 845,93</w:t>
            </w:r>
          </w:p>
        </w:tc>
        <w:tc>
          <w:tcPr>
            <w:tcW w:w="993" w:type="dxa"/>
            <w:tcBorders>
              <w:top w:val="single" w:sz="4" w:space="0" w:color="auto"/>
              <w:left w:val="single" w:sz="4" w:space="0" w:color="auto"/>
              <w:bottom w:val="single" w:sz="4" w:space="0" w:color="auto"/>
              <w:right w:val="single" w:sz="4" w:space="0" w:color="auto"/>
            </w:tcBorders>
            <w:vAlign w:val="center"/>
          </w:tcPr>
          <w:p w:rsidR="005D186C" w:rsidRPr="00FB462F" w:rsidRDefault="00793317" w:rsidP="000900D8">
            <w:pPr>
              <w:pStyle w:val="Default"/>
              <w:jc w:val="center"/>
              <w:rPr>
                <w:sz w:val="18"/>
                <w:szCs w:val="18"/>
                <w:vertAlign w:val="superscript"/>
              </w:rPr>
            </w:pPr>
            <w:r>
              <w:rPr>
                <w:sz w:val="18"/>
                <w:szCs w:val="18"/>
                <w:vertAlign w:val="superscript"/>
              </w:rPr>
              <w:t>10 070 061,65</w:t>
            </w:r>
          </w:p>
        </w:tc>
        <w:tc>
          <w:tcPr>
            <w:tcW w:w="567" w:type="dxa"/>
            <w:tcBorders>
              <w:top w:val="single" w:sz="4" w:space="0" w:color="auto"/>
              <w:left w:val="single" w:sz="4" w:space="0" w:color="auto"/>
              <w:bottom w:val="single" w:sz="4" w:space="0" w:color="auto"/>
              <w:right w:val="single" w:sz="4" w:space="0" w:color="auto"/>
            </w:tcBorders>
            <w:vAlign w:val="center"/>
          </w:tcPr>
          <w:p w:rsidR="005D186C" w:rsidRDefault="008C5EEA" w:rsidP="000900D8">
            <w:pPr>
              <w:pStyle w:val="Default"/>
              <w:jc w:val="center"/>
              <w:rPr>
                <w:sz w:val="18"/>
                <w:szCs w:val="18"/>
                <w:vertAlign w:val="superscript"/>
              </w:rPr>
            </w:pPr>
            <w:r>
              <w:rPr>
                <w:sz w:val="18"/>
                <w:szCs w:val="18"/>
                <w:vertAlign w:val="superscript"/>
              </w:rPr>
              <w:t>119,67</w:t>
            </w:r>
          </w:p>
        </w:tc>
        <w:tc>
          <w:tcPr>
            <w:tcW w:w="708" w:type="dxa"/>
            <w:tcBorders>
              <w:top w:val="single" w:sz="4" w:space="0" w:color="auto"/>
              <w:left w:val="single" w:sz="4" w:space="0" w:color="auto"/>
              <w:bottom w:val="single" w:sz="4" w:space="0" w:color="auto"/>
              <w:right w:val="single" w:sz="4" w:space="0" w:color="auto"/>
            </w:tcBorders>
            <w:vAlign w:val="center"/>
          </w:tcPr>
          <w:p w:rsidR="005D186C" w:rsidRDefault="008C5EEA" w:rsidP="000900D8">
            <w:pPr>
              <w:pStyle w:val="Default"/>
              <w:jc w:val="center"/>
              <w:rPr>
                <w:sz w:val="18"/>
                <w:szCs w:val="18"/>
                <w:vertAlign w:val="superscript"/>
              </w:rPr>
            </w:pPr>
            <w:r>
              <w:rPr>
                <w:sz w:val="18"/>
                <w:szCs w:val="18"/>
                <w:vertAlign w:val="superscript"/>
              </w:rPr>
              <w:t>60,59</w:t>
            </w:r>
          </w:p>
        </w:tc>
        <w:tc>
          <w:tcPr>
            <w:tcW w:w="567" w:type="dxa"/>
            <w:tcBorders>
              <w:top w:val="single" w:sz="4" w:space="0" w:color="auto"/>
              <w:left w:val="single" w:sz="4" w:space="0" w:color="auto"/>
              <w:bottom w:val="single" w:sz="4" w:space="0" w:color="auto"/>
              <w:right w:val="single" w:sz="4" w:space="0" w:color="auto"/>
            </w:tcBorders>
            <w:vAlign w:val="center"/>
          </w:tcPr>
          <w:p w:rsidR="005D186C" w:rsidRDefault="008C5EEA" w:rsidP="000900D8">
            <w:pPr>
              <w:pStyle w:val="Default"/>
              <w:jc w:val="center"/>
              <w:rPr>
                <w:sz w:val="18"/>
                <w:szCs w:val="18"/>
                <w:vertAlign w:val="superscript"/>
              </w:rPr>
            </w:pPr>
            <w:r>
              <w:rPr>
                <w:sz w:val="18"/>
                <w:szCs w:val="18"/>
                <w:vertAlign w:val="superscript"/>
              </w:rPr>
              <w:t>100,00</w:t>
            </w:r>
          </w:p>
        </w:tc>
        <w:tc>
          <w:tcPr>
            <w:tcW w:w="851" w:type="dxa"/>
            <w:tcBorders>
              <w:top w:val="single" w:sz="4" w:space="0" w:color="auto"/>
              <w:left w:val="single" w:sz="4" w:space="0" w:color="auto"/>
              <w:bottom w:val="single" w:sz="4" w:space="0" w:color="auto"/>
              <w:right w:val="single" w:sz="4" w:space="0" w:color="auto"/>
            </w:tcBorders>
            <w:vAlign w:val="center"/>
          </w:tcPr>
          <w:p w:rsidR="005D186C" w:rsidRPr="00FB462F" w:rsidRDefault="00793317" w:rsidP="000900D8">
            <w:pPr>
              <w:pStyle w:val="Default"/>
              <w:jc w:val="center"/>
              <w:rPr>
                <w:sz w:val="18"/>
                <w:szCs w:val="18"/>
                <w:vertAlign w:val="superscript"/>
              </w:rPr>
            </w:pPr>
            <w:r>
              <w:rPr>
                <w:sz w:val="18"/>
                <w:szCs w:val="18"/>
                <w:vertAlign w:val="superscript"/>
              </w:rPr>
              <w:t>9 116 163,42</w:t>
            </w:r>
          </w:p>
        </w:tc>
        <w:tc>
          <w:tcPr>
            <w:tcW w:w="567" w:type="dxa"/>
            <w:tcBorders>
              <w:top w:val="single" w:sz="4" w:space="0" w:color="auto"/>
              <w:left w:val="single" w:sz="4" w:space="0" w:color="auto"/>
              <w:bottom w:val="single" w:sz="4" w:space="0" w:color="auto"/>
              <w:right w:val="single" w:sz="4" w:space="0" w:color="auto"/>
            </w:tcBorders>
            <w:vAlign w:val="center"/>
          </w:tcPr>
          <w:p w:rsidR="005D186C" w:rsidRDefault="008C5EEA" w:rsidP="000900D8">
            <w:pPr>
              <w:pStyle w:val="Default"/>
              <w:jc w:val="center"/>
              <w:rPr>
                <w:sz w:val="18"/>
                <w:szCs w:val="18"/>
                <w:vertAlign w:val="superscript"/>
              </w:rPr>
            </w:pPr>
            <w:r>
              <w:rPr>
                <w:sz w:val="18"/>
                <w:szCs w:val="18"/>
                <w:vertAlign w:val="superscript"/>
              </w:rPr>
              <w:t>90,53</w:t>
            </w:r>
          </w:p>
        </w:tc>
        <w:tc>
          <w:tcPr>
            <w:tcW w:w="567" w:type="dxa"/>
            <w:tcBorders>
              <w:top w:val="single" w:sz="4" w:space="0" w:color="auto"/>
              <w:left w:val="single" w:sz="4" w:space="0" w:color="auto"/>
              <w:bottom w:val="single" w:sz="4" w:space="0" w:color="auto"/>
              <w:right w:val="single" w:sz="4" w:space="0" w:color="auto"/>
            </w:tcBorders>
            <w:vAlign w:val="center"/>
          </w:tcPr>
          <w:p w:rsidR="005D186C" w:rsidRDefault="008C5EEA" w:rsidP="000900D8">
            <w:pPr>
              <w:pStyle w:val="Default"/>
              <w:jc w:val="center"/>
              <w:rPr>
                <w:sz w:val="18"/>
                <w:szCs w:val="18"/>
                <w:vertAlign w:val="superscript"/>
              </w:rPr>
            </w:pPr>
            <w:r>
              <w:rPr>
                <w:sz w:val="18"/>
                <w:szCs w:val="18"/>
                <w:vertAlign w:val="superscript"/>
              </w:rPr>
              <w:t>100,00</w:t>
            </w:r>
          </w:p>
        </w:tc>
        <w:tc>
          <w:tcPr>
            <w:tcW w:w="850" w:type="dxa"/>
            <w:tcBorders>
              <w:top w:val="single" w:sz="4" w:space="0" w:color="auto"/>
              <w:left w:val="single" w:sz="4" w:space="0" w:color="auto"/>
              <w:bottom w:val="single" w:sz="4" w:space="0" w:color="auto"/>
              <w:right w:val="single" w:sz="4" w:space="0" w:color="auto"/>
            </w:tcBorders>
            <w:vAlign w:val="center"/>
          </w:tcPr>
          <w:p w:rsidR="005D186C" w:rsidRPr="00FB462F" w:rsidRDefault="00793317" w:rsidP="000900D8">
            <w:pPr>
              <w:pStyle w:val="Default"/>
              <w:jc w:val="center"/>
              <w:rPr>
                <w:sz w:val="18"/>
                <w:szCs w:val="18"/>
                <w:vertAlign w:val="superscript"/>
              </w:rPr>
            </w:pPr>
            <w:r>
              <w:rPr>
                <w:sz w:val="18"/>
                <w:szCs w:val="18"/>
                <w:vertAlign w:val="superscript"/>
              </w:rPr>
              <w:t>9 499 459,17</w:t>
            </w:r>
          </w:p>
        </w:tc>
        <w:tc>
          <w:tcPr>
            <w:tcW w:w="567" w:type="dxa"/>
            <w:tcBorders>
              <w:top w:val="single" w:sz="4" w:space="0" w:color="auto"/>
              <w:left w:val="single" w:sz="4" w:space="0" w:color="auto"/>
              <w:bottom w:val="single" w:sz="4" w:space="0" w:color="auto"/>
              <w:right w:val="single" w:sz="4" w:space="0" w:color="auto"/>
            </w:tcBorders>
            <w:vAlign w:val="center"/>
          </w:tcPr>
          <w:p w:rsidR="005D186C" w:rsidRDefault="008C5EEA" w:rsidP="000900D8">
            <w:pPr>
              <w:pStyle w:val="Default"/>
              <w:jc w:val="center"/>
              <w:rPr>
                <w:sz w:val="18"/>
                <w:szCs w:val="18"/>
                <w:vertAlign w:val="superscript"/>
              </w:rPr>
            </w:pPr>
            <w:r>
              <w:rPr>
                <w:sz w:val="18"/>
                <w:szCs w:val="18"/>
                <w:vertAlign w:val="superscript"/>
              </w:rPr>
              <w:t>104,20</w:t>
            </w:r>
          </w:p>
        </w:tc>
        <w:tc>
          <w:tcPr>
            <w:tcW w:w="567" w:type="dxa"/>
            <w:tcBorders>
              <w:top w:val="single" w:sz="4" w:space="0" w:color="auto"/>
              <w:left w:val="single" w:sz="4" w:space="0" w:color="auto"/>
              <w:bottom w:val="single" w:sz="4" w:space="0" w:color="auto"/>
              <w:right w:val="single" w:sz="4" w:space="0" w:color="auto"/>
            </w:tcBorders>
            <w:vAlign w:val="center"/>
          </w:tcPr>
          <w:p w:rsidR="005D186C" w:rsidRDefault="008C5EEA" w:rsidP="000900D8">
            <w:pPr>
              <w:pStyle w:val="Default"/>
              <w:jc w:val="center"/>
              <w:rPr>
                <w:sz w:val="18"/>
                <w:szCs w:val="18"/>
                <w:vertAlign w:val="superscript"/>
              </w:rPr>
            </w:pPr>
            <w:r>
              <w:rPr>
                <w:sz w:val="18"/>
                <w:szCs w:val="18"/>
                <w:vertAlign w:val="superscript"/>
              </w:rPr>
              <w:t>100,00</w:t>
            </w:r>
          </w:p>
        </w:tc>
      </w:tr>
    </w:tbl>
    <w:p w:rsidR="00D77600" w:rsidRPr="0059085B" w:rsidRDefault="009D4E5A" w:rsidP="00F23713">
      <w:pPr>
        <w:spacing w:after="0" w:line="240" w:lineRule="auto"/>
        <w:ind w:firstLine="709"/>
        <w:jc w:val="both"/>
        <w:rPr>
          <w:rFonts w:ascii="Times New Roman" w:hAnsi="Times New Roman" w:cs="Times New Roman"/>
          <w:sz w:val="24"/>
          <w:szCs w:val="24"/>
        </w:rPr>
      </w:pPr>
      <w:r w:rsidRPr="0059085B">
        <w:rPr>
          <w:rFonts w:ascii="Times New Roman" w:hAnsi="Times New Roman" w:cs="Times New Roman"/>
          <w:sz w:val="24"/>
          <w:szCs w:val="24"/>
        </w:rPr>
        <w:lastRenderedPageBreak/>
        <w:t xml:space="preserve">Расходы </w:t>
      </w:r>
      <w:r w:rsidR="0059085B" w:rsidRPr="0059085B">
        <w:rPr>
          <w:rFonts w:ascii="Times New Roman" w:hAnsi="Times New Roman" w:cs="Times New Roman"/>
          <w:sz w:val="24"/>
          <w:szCs w:val="24"/>
        </w:rPr>
        <w:t xml:space="preserve">предусмотренные проектом решения на </w:t>
      </w:r>
      <w:r w:rsidRPr="0059085B">
        <w:rPr>
          <w:rFonts w:ascii="Times New Roman" w:hAnsi="Times New Roman" w:cs="Times New Roman"/>
          <w:sz w:val="24"/>
          <w:szCs w:val="24"/>
        </w:rPr>
        <w:t>202</w:t>
      </w:r>
      <w:r w:rsidR="00A40357" w:rsidRPr="0059085B">
        <w:rPr>
          <w:rFonts w:ascii="Times New Roman" w:hAnsi="Times New Roman" w:cs="Times New Roman"/>
          <w:sz w:val="24"/>
          <w:szCs w:val="24"/>
        </w:rPr>
        <w:t>4</w:t>
      </w:r>
      <w:r w:rsidRPr="0059085B">
        <w:rPr>
          <w:rFonts w:ascii="Times New Roman" w:hAnsi="Times New Roman" w:cs="Times New Roman"/>
          <w:sz w:val="24"/>
          <w:szCs w:val="24"/>
        </w:rPr>
        <w:t xml:space="preserve"> года  в сравнении с утвержденным бюджетом на 202</w:t>
      </w:r>
      <w:r w:rsidR="00A40357" w:rsidRPr="0059085B">
        <w:rPr>
          <w:rFonts w:ascii="Times New Roman" w:hAnsi="Times New Roman" w:cs="Times New Roman"/>
          <w:sz w:val="24"/>
          <w:szCs w:val="24"/>
        </w:rPr>
        <w:t>3</w:t>
      </w:r>
      <w:r w:rsidRPr="0059085B">
        <w:rPr>
          <w:rFonts w:ascii="Times New Roman" w:hAnsi="Times New Roman" w:cs="Times New Roman"/>
          <w:sz w:val="24"/>
          <w:szCs w:val="24"/>
        </w:rPr>
        <w:t xml:space="preserve"> год запланированы с ростом  к  первоначальному  бюджету на </w:t>
      </w:r>
      <w:r w:rsidR="00A40357" w:rsidRPr="0059085B">
        <w:rPr>
          <w:rFonts w:ascii="Times New Roman" w:hAnsi="Times New Roman" w:cs="Times New Roman"/>
          <w:sz w:val="24"/>
          <w:szCs w:val="24"/>
        </w:rPr>
        <w:t>19,67</w:t>
      </w:r>
      <w:r w:rsidRPr="0059085B">
        <w:rPr>
          <w:rFonts w:ascii="Times New Roman" w:hAnsi="Times New Roman" w:cs="Times New Roman"/>
          <w:sz w:val="24"/>
          <w:szCs w:val="24"/>
        </w:rPr>
        <w:t xml:space="preserve">%,  и в сравнении  с  уточненной редакцией со снижением на </w:t>
      </w:r>
      <w:r w:rsidR="00A40357" w:rsidRPr="0059085B">
        <w:rPr>
          <w:rFonts w:ascii="Times New Roman" w:hAnsi="Times New Roman" w:cs="Times New Roman"/>
          <w:sz w:val="24"/>
          <w:szCs w:val="24"/>
        </w:rPr>
        <w:t>39,41</w:t>
      </w:r>
      <w:r w:rsidRPr="0059085B">
        <w:rPr>
          <w:rFonts w:ascii="Times New Roman" w:hAnsi="Times New Roman" w:cs="Times New Roman"/>
          <w:sz w:val="24"/>
          <w:szCs w:val="24"/>
        </w:rPr>
        <w:t xml:space="preserve">%, плановый период </w:t>
      </w:r>
      <w:r w:rsidR="00A40357" w:rsidRPr="0059085B">
        <w:rPr>
          <w:rFonts w:ascii="Times New Roman" w:hAnsi="Times New Roman" w:cs="Times New Roman"/>
          <w:sz w:val="24"/>
          <w:szCs w:val="24"/>
        </w:rPr>
        <w:t xml:space="preserve">2025 года </w:t>
      </w:r>
      <w:r w:rsidRPr="0059085B">
        <w:rPr>
          <w:rFonts w:ascii="Times New Roman" w:hAnsi="Times New Roman" w:cs="Times New Roman"/>
          <w:sz w:val="24"/>
          <w:szCs w:val="24"/>
        </w:rPr>
        <w:t xml:space="preserve">спланирован </w:t>
      </w:r>
      <w:r w:rsidR="00A40357" w:rsidRPr="0059085B">
        <w:rPr>
          <w:rFonts w:ascii="Times New Roman" w:hAnsi="Times New Roman" w:cs="Times New Roman"/>
          <w:sz w:val="24"/>
          <w:szCs w:val="24"/>
        </w:rPr>
        <w:t>со с</w:t>
      </w:r>
      <w:r w:rsidRPr="0059085B">
        <w:rPr>
          <w:rFonts w:ascii="Times New Roman" w:hAnsi="Times New Roman" w:cs="Times New Roman"/>
          <w:sz w:val="24"/>
          <w:szCs w:val="24"/>
        </w:rPr>
        <w:t>ниже</w:t>
      </w:r>
      <w:r w:rsidR="00A40357" w:rsidRPr="0059085B">
        <w:rPr>
          <w:rFonts w:ascii="Times New Roman" w:hAnsi="Times New Roman" w:cs="Times New Roman"/>
          <w:sz w:val="24"/>
          <w:szCs w:val="24"/>
        </w:rPr>
        <w:t>нием к уровню</w:t>
      </w:r>
      <w:r w:rsidRPr="0059085B">
        <w:rPr>
          <w:rFonts w:ascii="Times New Roman" w:hAnsi="Times New Roman" w:cs="Times New Roman"/>
          <w:sz w:val="24"/>
          <w:szCs w:val="24"/>
        </w:rPr>
        <w:t xml:space="preserve"> 202</w:t>
      </w:r>
      <w:r w:rsidR="00A40357" w:rsidRPr="0059085B">
        <w:rPr>
          <w:rFonts w:ascii="Times New Roman" w:hAnsi="Times New Roman" w:cs="Times New Roman"/>
          <w:sz w:val="24"/>
          <w:szCs w:val="24"/>
        </w:rPr>
        <w:t>4</w:t>
      </w:r>
      <w:r w:rsidRPr="0059085B">
        <w:rPr>
          <w:rFonts w:ascii="Times New Roman" w:hAnsi="Times New Roman" w:cs="Times New Roman"/>
          <w:sz w:val="24"/>
          <w:szCs w:val="24"/>
        </w:rPr>
        <w:t xml:space="preserve"> года на </w:t>
      </w:r>
      <w:r w:rsidR="00A40357" w:rsidRPr="0059085B">
        <w:rPr>
          <w:rFonts w:ascii="Times New Roman" w:hAnsi="Times New Roman" w:cs="Times New Roman"/>
          <w:sz w:val="24"/>
          <w:szCs w:val="24"/>
        </w:rPr>
        <w:t>9,47</w:t>
      </w:r>
      <w:r w:rsidRPr="0059085B">
        <w:rPr>
          <w:rFonts w:ascii="Times New Roman" w:hAnsi="Times New Roman" w:cs="Times New Roman"/>
          <w:sz w:val="24"/>
          <w:szCs w:val="24"/>
        </w:rPr>
        <w:t>% и</w:t>
      </w:r>
      <w:r w:rsidR="00A40357" w:rsidRPr="0059085B">
        <w:rPr>
          <w:rFonts w:ascii="Times New Roman" w:hAnsi="Times New Roman" w:cs="Times New Roman"/>
          <w:sz w:val="24"/>
          <w:szCs w:val="24"/>
        </w:rPr>
        <w:t xml:space="preserve"> в </w:t>
      </w:r>
      <w:r w:rsidRPr="0059085B">
        <w:rPr>
          <w:rFonts w:ascii="Times New Roman" w:hAnsi="Times New Roman" w:cs="Times New Roman"/>
          <w:sz w:val="24"/>
          <w:szCs w:val="24"/>
        </w:rPr>
        <w:t>202</w:t>
      </w:r>
      <w:r w:rsidR="00A40357" w:rsidRPr="0059085B">
        <w:rPr>
          <w:rFonts w:ascii="Times New Roman" w:hAnsi="Times New Roman" w:cs="Times New Roman"/>
          <w:sz w:val="24"/>
          <w:szCs w:val="24"/>
        </w:rPr>
        <w:t>6</w:t>
      </w:r>
      <w:r w:rsidRPr="0059085B">
        <w:rPr>
          <w:rFonts w:ascii="Times New Roman" w:hAnsi="Times New Roman" w:cs="Times New Roman"/>
          <w:sz w:val="24"/>
          <w:szCs w:val="24"/>
        </w:rPr>
        <w:t xml:space="preserve"> году </w:t>
      </w:r>
      <w:r w:rsidR="00A40357" w:rsidRPr="0059085B">
        <w:rPr>
          <w:rFonts w:ascii="Times New Roman" w:hAnsi="Times New Roman" w:cs="Times New Roman"/>
          <w:sz w:val="24"/>
          <w:szCs w:val="24"/>
        </w:rPr>
        <w:t>с ростом</w:t>
      </w:r>
      <w:r w:rsidRPr="0059085B">
        <w:rPr>
          <w:rFonts w:ascii="Times New Roman" w:hAnsi="Times New Roman" w:cs="Times New Roman"/>
          <w:sz w:val="24"/>
          <w:szCs w:val="24"/>
        </w:rPr>
        <w:t xml:space="preserve"> на </w:t>
      </w:r>
      <w:r w:rsidR="00A40357" w:rsidRPr="0059085B">
        <w:rPr>
          <w:rFonts w:ascii="Times New Roman" w:hAnsi="Times New Roman" w:cs="Times New Roman"/>
          <w:sz w:val="24"/>
          <w:szCs w:val="24"/>
        </w:rPr>
        <w:t>4,20</w:t>
      </w:r>
      <w:r w:rsidRPr="0059085B">
        <w:rPr>
          <w:rFonts w:ascii="Times New Roman" w:hAnsi="Times New Roman" w:cs="Times New Roman"/>
          <w:sz w:val="24"/>
          <w:szCs w:val="24"/>
        </w:rPr>
        <w:t>% относительно 202</w:t>
      </w:r>
      <w:r w:rsidR="00A40357" w:rsidRPr="0059085B">
        <w:rPr>
          <w:rFonts w:ascii="Times New Roman" w:hAnsi="Times New Roman" w:cs="Times New Roman"/>
          <w:sz w:val="24"/>
          <w:szCs w:val="24"/>
        </w:rPr>
        <w:t>5</w:t>
      </w:r>
      <w:r w:rsidRPr="0059085B">
        <w:rPr>
          <w:rFonts w:ascii="Times New Roman" w:hAnsi="Times New Roman" w:cs="Times New Roman"/>
          <w:sz w:val="24"/>
          <w:szCs w:val="24"/>
        </w:rPr>
        <w:t xml:space="preserve"> года.</w:t>
      </w:r>
    </w:p>
    <w:p w:rsidR="00D77600" w:rsidRPr="0059085B" w:rsidRDefault="00A40357" w:rsidP="00F23713">
      <w:pPr>
        <w:spacing w:after="0" w:line="240" w:lineRule="auto"/>
        <w:ind w:firstLine="709"/>
        <w:jc w:val="both"/>
        <w:rPr>
          <w:rFonts w:ascii="Times New Roman" w:hAnsi="Times New Roman" w:cs="Times New Roman"/>
          <w:sz w:val="24"/>
          <w:szCs w:val="24"/>
        </w:rPr>
      </w:pPr>
      <w:r w:rsidRPr="0059085B">
        <w:rPr>
          <w:rFonts w:ascii="Times New Roman" w:hAnsi="Times New Roman" w:cs="Times New Roman"/>
          <w:sz w:val="24"/>
          <w:szCs w:val="24"/>
        </w:rPr>
        <w:t xml:space="preserve">Бюджетные ассигнования по разделу </w:t>
      </w:r>
      <w:r w:rsidRPr="0059085B">
        <w:rPr>
          <w:rFonts w:ascii="Times New Roman" w:hAnsi="Times New Roman" w:cs="Times New Roman"/>
          <w:b/>
          <w:sz w:val="24"/>
          <w:szCs w:val="24"/>
        </w:rPr>
        <w:t>«Общегосударственные расходы»</w:t>
      </w:r>
      <w:r w:rsidRPr="0059085B">
        <w:rPr>
          <w:rFonts w:ascii="Times New Roman" w:hAnsi="Times New Roman" w:cs="Times New Roman"/>
          <w:sz w:val="24"/>
          <w:szCs w:val="24"/>
        </w:rPr>
        <w:t xml:space="preserve"> сформированы на 2024 год в сумме 4 055 223,75 рублей (доля в структуре расходов 40,27%) с ростом к первоначальной редакции 2023 года на 66,46% и к уточненной редакции на 15,43%. В плановом 2025 году предусмотрен объем 2 891 667,00 рублей, со снижением к уровню 2024 года, в 2026 году в сумме 2 479 028,52 рублей со снижением к уровню 2025 года на 14,27%. </w:t>
      </w:r>
    </w:p>
    <w:p w:rsidR="00625741" w:rsidRPr="0059085B" w:rsidRDefault="00625741" w:rsidP="00F23713">
      <w:pPr>
        <w:spacing w:after="0" w:line="240" w:lineRule="auto"/>
        <w:ind w:firstLine="709"/>
        <w:jc w:val="both"/>
        <w:rPr>
          <w:rFonts w:ascii="Times New Roman" w:hAnsi="Times New Roman" w:cs="Times New Roman"/>
          <w:sz w:val="24"/>
          <w:szCs w:val="24"/>
        </w:rPr>
      </w:pPr>
      <w:r w:rsidRPr="0059085B">
        <w:rPr>
          <w:rFonts w:ascii="Times New Roman" w:hAnsi="Times New Roman" w:cs="Times New Roman"/>
          <w:sz w:val="24"/>
          <w:szCs w:val="24"/>
        </w:rPr>
        <w:t>Расходы по данному разделу предусмотрены на обеспечение функционирования высшего должностного лица, местной администрации, на 2024 год предусмотрен объем 4 006 723,75 рублей.</w:t>
      </w:r>
    </w:p>
    <w:p w:rsidR="00D77600" w:rsidRPr="0059085B" w:rsidRDefault="009D4E5A" w:rsidP="00F23713">
      <w:pPr>
        <w:spacing w:after="0" w:line="240" w:lineRule="auto"/>
        <w:ind w:firstLine="709"/>
        <w:jc w:val="both"/>
        <w:rPr>
          <w:rFonts w:ascii="Times New Roman" w:hAnsi="Times New Roman" w:cs="Times New Roman"/>
          <w:sz w:val="24"/>
          <w:szCs w:val="24"/>
        </w:rPr>
      </w:pPr>
      <w:r w:rsidRPr="0059085B">
        <w:rPr>
          <w:rFonts w:ascii="Times New Roman" w:hAnsi="Times New Roman" w:cs="Times New Roman"/>
          <w:color w:val="000000"/>
          <w:sz w:val="24"/>
          <w:szCs w:val="24"/>
        </w:rPr>
        <w:t>В целях финансового</w:t>
      </w:r>
      <w:r w:rsidRPr="0059085B">
        <w:rPr>
          <w:rFonts w:ascii="Times New Roman" w:hAnsi="Times New Roman" w:cs="Times New Roman"/>
          <w:sz w:val="24"/>
          <w:szCs w:val="24"/>
        </w:rPr>
        <w:t xml:space="preserve"> обеспечения непредвиденных расходов по подразделу </w:t>
      </w:r>
      <w:r w:rsidRPr="0059085B">
        <w:rPr>
          <w:rFonts w:ascii="Times New Roman" w:hAnsi="Times New Roman" w:cs="Times New Roman"/>
          <w:i/>
          <w:sz w:val="24"/>
          <w:szCs w:val="24"/>
        </w:rPr>
        <w:t>"Резервные фонды"</w:t>
      </w:r>
      <w:r w:rsidRPr="0059085B">
        <w:rPr>
          <w:rFonts w:ascii="Times New Roman" w:hAnsi="Times New Roman" w:cs="Times New Roman"/>
          <w:sz w:val="24"/>
          <w:szCs w:val="24"/>
        </w:rPr>
        <w:t xml:space="preserve"> предусматривается формирование резервного фонда Администрации Вольновского сельского поселения Полтавского муниципального района в объеме 5 000,00 рублей в 202</w:t>
      </w:r>
      <w:r w:rsidR="00625741" w:rsidRPr="0059085B">
        <w:rPr>
          <w:rFonts w:ascii="Times New Roman" w:hAnsi="Times New Roman" w:cs="Times New Roman"/>
          <w:sz w:val="24"/>
          <w:szCs w:val="24"/>
        </w:rPr>
        <w:t>4</w:t>
      </w:r>
      <w:r w:rsidRPr="0059085B">
        <w:rPr>
          <w:rFonts w:ascii="Times New Roman" w:hAnsi="Times New Roman" w:cs="Times New Roman"/>
          <w:sz w:val="24"/>
          <w:szCs w:val="24"/>
        </w:rPr>
        <w:t xml:space="preserve"> году, в плановом периоде в объеме </w:t>
      </w:r>
      <w:r w:rsidR="00625741" w:rsidRPr="0059085B">
        <w:rPr>
          <w:rFonts w:ascii="Times New Roman" w:hAnsi="Times New Roman" w:cs="Times New Roman"/>
          <w:sz w:val="24"/>
          <w:szCs w:val="24"/>
        </w:rPr>
        <w:t>4</w:t>
      </w:r>
      <w:r w:rsidRPr="0059085B">
        <w:rPr>
          <w:rFonts w:ascii="Times New Roman" w:hAnsi="Times New Roman" w:cs="Times New Roman"/>
          <w:sz w:val="24"/>
          <w:szCs w:val="24"/>
        </w:rPr>
        <w:t xml:space="preserve"> 000,00 рублей ежегодно отношение размера резервного фонда к общему объему расходов составляет 0,0</w:t>
      </w:r>
      <w:r w:rsidR="00625741" w:rsidRPr="0059085B">
        <w:rPr>
          <w:rFonts w:ascii="Times New Roman" w:hAnsi="Times New Roman" w:cs="Times New Roman"/>
          <w:sz w:val="24"/>
          <w:szCs w:val="24"/>
        </w:rPr>
        <w:t>5</w:t>
      </w:r>
      <w:r w:rsidRPr="0059085B">
        <w:rPr>
          <w:rFonts w:ascii="Times New Roman" w:hAnsi="Times New Roman" w:cs="Times New Roman"/>
          <w:sz w:val="24"/>
          <w:szCs w:val="24"/>
        </w:rPr>
        <w:t>% в 202</w:t>
      </w:r>
      <w:r w:rsidR="00625741" w:rsidRPr="0059085B">
        <w:rPr>
          <w:rFonts w:ascii="Times New Roman" w:hAnsi="Times New Roman" w:cs="Times New Roman"/>
          <w:sz w:val="24"/>
          <w:szCs w:val="24"/>
        </w:rPr>
        <w:t>4</w:t>
      </w:r>
      <w:r w:rsidRPr="0059085B">
        <w:rPr>
          <w:rFonts w:ascii="Times New Roman" w:hAnsi="Times New Roman" w:cs="Times New Roman"/>
          <w:sz w:val="24"/>
          <w:szCs w:val="24"/>
        </w:rPr>
        <w:t xml:space="preserve"> году, 0,</w:t>
      </w:r>
      <w:r w:rsidR="00625741" w:rsidRPr="0059085B">
        <w:rPr>
          <w:rFonts w:ascii="Times New Roman" w:hAnsi="Times New Roman" w:cs="Times New Roman"/>
          <w:sz w:val="24"/>
          <w:szCs w:val="24"/>
        </w:rPr>
        <w:t>04</w:t>
      </w:r>
      <w:r w:rsidRPr="0059085B">
        <w:rPr>
          <w:rFonts w:ascii="Times New Roman" w:hAnsi="Times New Roman" w:cs="Times New Roman"/>
          <w:sz w:val="24"/>
          <w:szCs w:val="24"/>
        </w:rPr>
        <w:t>%  в плановом периоде.</w:t>
      </w:r>
    </w:p>
    <w:p w:rsidR="00625741" w:rsidRPr="0059085B" w:rsidRDefault="00625741" w:rsidP="00F23713">
      <w:pPr>
        <w:suppressAutoHyphens w:val="0"/>
        <w:autoSpaceDE w:val="0"/>
        <w:autoSpaceDN w:val="0"/>
        <w:adjustRightInd w:val="0"/>
        <w:spacing w:after="0" w:line="240" w:lineRule="auto"/>
        <w:ind w:firstLine="709"/>
        <w:jc w:val="both"/>
        <w:rPr>
          <w:rFonts w:ascii="Times New Roman" w:eastAsia="Noto Sans CJK SC" w:hAnsi="Times New Roman" w:cs="Times New Roman"/>
          <w:color w:val="000000"/>
          <w:sz w:val="24"/>
          <w:szCs w:val="24"/>
        </w:rPr>
      </w:pPr>
      <w:r w:rsidRPr="0059085B">
        <w:rPr>
          <w:rFonts w:ascii="Times New Roman" w:hAnsi="Times New Roman" w:cs="Times New Roman"/>
          <w:sz w:val="24"/>
          <w:szCs w:val="24"/>
        </w:rPr>
        <w:t xml:space="preserve">По подразделу </w:t>
      </w:r>
      <w:r w:rsidRPr="0059085B">
        <w:rPr>
          <w:rFonts w:ascii="Times New Roman" w:hAnsi="Times New Roman" w:cs="Times New Roman"/>
          <w:i/>
          <w:sz w:val="24"/>
          <w:szCs w:val="24"/>
        </w:rPr>
        <w:t>«Другие общегосударственные вопросы»</w:t>
      </w:r>
      <w:r w:rsidRPr="0059085B">
        <w:rPr>
          <w:rFonts w:ascii="Times New Roman" w:hAnsi="Times New Roman" w:cs="Times New Roman"/>
          <w:sz w:val="24"/>
          <w:szCs w:val="24"/>
        </w:rPr>
        <w:t xml:space="preserve"> в рамках п</w:t>
      </w:r>
      <w:r w:rsidRPr="0059085B">
        <w:rPr>
          <w:rFonts w:ascii="Times New Roman" w:eastAsia="Noto Sans CJK SC" w:hAnsi="Times New Roman" w:cs="Times New Roman"/>
          <w:color w:val="000000"/>
          <w:sz w:val="24"/>
          <w:szCs w:val="24"/>
        </w:rPr>
        <w:t>одпрограммы "Муниципальное управление, управление муниципальным имуществом Вольновского сельского поселения" предусмотрены средства в 2024 году в сумме 43 500,00 рублей, в плановом периоде 47 500,00 рублей ежегодно. Средства запланировано направить на оформление технической документации на объекты недвижимого имущества, проведение оценки рыночной стоимости имущества, приобретение программного продукта для вза</w:t>
      </w:r>
      <w:r w:rsidRPr="0059085B">
        <w:rPr>
          <w:rFonts w:ascii="Times New Roman" w:eastAsia="Noto Sans CJK SC" w:hAnsi="Times New Roman" w:cs="Times New Roman"/>
          <w:color w:val="000000"/>
          <w:sz w:val="24"/>
          <w:szCs w:val="24"/>
        </w:rPr>
        <w:t>и</w:t>
      </w:r>
      <w:r w:rsidRPr="0059085B">
        <w:rPr>
          <w:rFonts w:ascii="Times New Roman" w:eastAsia="Noto Sans CJK SC" w:hAnsi="Times New Roman" w:cs="Times New Roman"/>
          <w:color w:val="000000"/>
          <w:sz w:val="24"/>
          <w:szCs w:val="24"/>
        </w:rPr>
        <w:t>модействия с Росреестром при постановке объектов недвижимости на кадастровый учет. В рамках подпрограммы  повышение эффективности деятельности Администрации Вол</w:t>
      </w:r>
      <w:r w:rsidRPr="0059085B">
        <w:rPr>
          <w:rFonts w:ascii="Times New Roman" w:eastAsia="Noto Sans CJK SC" w:hAnsi="Times New Roman" w:cs="Times New Roman"/>
          <w:color w:val="000000"/>
          <w:sz w:val="24"/>
          <w:szCs w:val="24"/>
        </w:rPr>
        <w:t>ь</w:t>
      </w:r>
      <w:r w:rsidRPr="0059085B">
        <w:rPr>
          <w:rFonts w:ascii="Times New Roman" w:eastAsia="Noto Sans CJK SC" w:hAnsi="Times New Roman" w:cs="Times New Roman"/>
          <w:color w:val="000000"/>
          <w:sz w:val="24"/>
          <w:szCs w:val="24"/>
        </w:rPr>
        <w:t>новского сельского поселения Омской области в сумме 16 000,00 рублей в 2024 году и в плановом периоде ежегодно 20 000,00 рублей, на содержание муниципального имущества.</w:t>
      </w:r>
    </w:p>
    <w:p w:rsidR="00C07C54" w:rsidRPr="0059085B" w:rsidRDefault="00625741" w:rsidP="00F23713">
      <w:pPr>
        <w:suppressAutoHyphens w:val="0"/>
        <w:autoSpaceDE w:val="0"/>
        <w:autoSpaceDN w:val="0"/>
        <w:adjustRightInd w:val="0"/>
        <w:spacing w:after="0" w:line="240" w:lineRule="auto"/>
        <w:ind w:firstLine="709"/>
        <w:jc w:val="both"/>
        <w:rPr>
          <w:rFonts w:ascii="Times New Roman" w:eastAsia="Noto Sans CJK SC" w:hAnsi="Times New Roman" w:cs="Times New Roman"/>
          <w:color w:val="000000"/>
          <w:sz w:val="24"/>
          <w:szCs w:val="24"/>
        </w:rPr>
      </w:pPr>
      <w:r w:rsidRPr="0059085B">
        <w:rPr>
          <w:rFonts w:ascii="Times New Roman" w:eastAsia="Noto Sans CJK SC" w:hAnsi="Times New Roman" w:cs="Times New Roman"/>
          <w:color w:val="000000"/>
          <w:sz w:val="24"/>
          <w:szCs w:val="24"/>
        </w:rPr>
        <w:t xml:space="preserve">По разделу </w:t>
      </w:r>
      <w:r w:rsidRPr="0059085B">
        <w:rPr>
          <w:rFonts w:ascii="Times New Roman" w:eastAsia="Noto Sans CJK SC" w:hAnsi="Times New Roman" w:cs="Times New Roman"/>
          <w:b/>
          <w:color w:val="000000"/>
          <w:sz w:val="24"/>
          <w:szCs w:val="24"/>
        </w:rPr>
        <w:t>«Национальная безопасность и правоохранительная деятельность</w:t>
      </w:r>
      <w:r w:rsidR="00C07C54" w:rsidRPr="0059085B">
        <w:rPr>
          <w:rFonts w:ascii="Times New Roman" w:eastAsia="Noto Sans CJK SC" w:hAnsi="Times New Roman" w:cs="Times New Roman"/>
          <w:b/>
          <w:color w:val="000000"/>
          <w:sz w:val="24"/>
          <w:szCs w:val="24"/>
        </w:rPr>
        <w:t>»</w:t>
      </w:r>
      <w:r w:rsidRPr="0059085B">
        <w:rPr>
          <w:rFonts w:ascii="Times New Roman" w:eastAsia="Noto Sans CJK SC" w:hAnsi="Times New Roman" w:cs="Times New Roman"/>
          <w:color w:val="000000"/>
          <w:sz w:val="24"/>
          <w:szCs w:val="24"/>
        </w:rPr>
        <w:t xml:space="preserve"> на 2024 год зап</w:t>
      </w:r>
      <w:r w:rsidR="00C07C54" w:rsidRPr="0059085B">
        <w:rPr>
          <w:rFonts w:ascii="Times New Roman" w:eastAsia="Noto Sans CJK SC" w:hAnsi="Times New Roman" w:cs="Times New Roman"/>
          <w:color w:val="000000"/>
          <w:sz w:val="24"/>
          <w:szCs w:val="24"/>
        </w:rPr>
        <w:t>ланировано 21 211,65 рублей (в структуре расходов 0,21%) с ростом к пе</w:t>
      </w:r>
      <w:r w:rsidR="00C07C54" w:rsidRPr="0059085B">
        <w:rPr>
          <w:rFonts w:ascii="Times New Roman" w:eastAsia="Noto Sans CJK SC" w:hAnsi="Times New Roman" w:cs="Times New Roman"/>
          <w:color w:val="000000"/>
          <w:sz w:val="24"/>
          <w:szCs w:val="24"/>
        </w:rPr>
        <w:t>р</w:t>
      </w:r>
      <w:r w:rsidR="00C07C54" w:rsidRPr="0059085B">
        <w:rPr>
          <w:rFonts w:ascii="Times New Roman" w:eastAsia="Noto Sans CJK SC" w:hAnsi="Times New Roman" w:cs="Times New Roman"/>
          <w:color w:val="000000"/>
          <w:sz w:val="24"/>
          <w:szCs w:val="24"/>
        </w:rPr>
        <w:t>воначальной редакции 2023 года на 24,77% и снижением к уточненной редакции на 89,19%. В плановом периоде 2025 года предусмотрены средства в объеме 62 849,42 ру</w:t>
      </w:r>
      <w:r w:rsidR="00C07C54" w:rsidRPr="0059085B">
        <w:rPr>
          <w:rFonts w:ascii="Times New Roman" w:eastAsia="Noto Sans CJK SC" w:hAnsi="Times New Roman" w:cs="Times New Roman"/>
          <w:color w:val="000000"/>
          <w:sz w:val="24"/>
          <w:szCs w:val="24"/>
        </w:rPr>
        <w:t>б</w:t>
      </w:r>
      <w:r w:rsidR="00C07C54" w:rsidRPr="0059085B">
        <w:rPr>
          <w:rFonts w:ascii="Times New Roman" w:eastAsia="Noto Sans CJK SC" w:hAnsi="Times New Roman" w:cs="Times New Roman"/>
          <w:color w:val="000000"/>
          <w:sz w:val="24"/>
          <w:szCs w:val="24"/>
        </w:rPr>
        <w:t>лей, с ростом к уровню 2024 года в 2,96 раза, в 2026 году в сумме 163 411,65 рублей с ро</w:t>
      </w:r>
      <w:r w:rsidR="00C07C54" w:rsidRPr="0059085B">
        <w:rPr>
          <w:rFonts w:ascii="Times New Roman" w:eastAsia="Noto Sans CJK SC" w:hAnsi="Times New Roman" w:cs="Times New Roman"/>
          <w:color w:val="000000"/>
          <w:sz w:val="24"/>
          <w:szCs w:val="24"/>
        </w:rPr>
        <w:t>с</w:t>
      </w:r>
      <w:r w:rsidR="00C07C54" w:rsidRPr="0059085B">
        <w:rPr>
          <w:rFonts w:ascii="Times New Roman" w:eastAsia="Noto Sans CJK SC" w:hAnsi="Times New Roman" w:cs="Times New Roman"/>
          <w:color w:val="000000"/>
          <w:sz w:val="24"/>
          <w:szCs w:val="24"/>
        </w:rPr>
        <w:t>том к уровню 2025 года в 2,6 раза. Средства предусмотрены в рамках подпрограммы "Борьба с пожарами, чрезвычайными ситуациями, укрепление материально-технической базы и социальная защита населения Вольновского сельского поселения" на проведение мероприятий по защите населения и территории от чрезвычайных ситуаций природного и техногенного характера, гражданской обороне; на мероприятия по обеспечению пожарной безопасности; на мероприятия по ликвидации последствий чрезвычайных ситуаций.</w:t>
      </w:r>
    </w:p>
    <w:p w:rsidR="009636A9" w:rsidRPr="0059085B" w:rsidRDefault="00C07C54" w:rsidP="00F23713">
      <w:pPr>
        <w:suppressAutoHyphens w:val="0"/>
        <w:autoSpaceDE w:val="0"/>
        <w:autoSpaceDN w:val="0"/>
        <w:adjustRightInd w:val="0"/>
        <w:spacing w:after="0" w:line="240" w:lineRule="auto"/>
        <w:ind w:firstLine="709"/>
        <w:jc w:val="both"/>
        <w:rPr>
          <w:rFonts w:ascii="Times New Roman" w:eastAsia="Noto Sans CJK SC" w:hAnsi="Times New Roman" w:cs="Times New Roman"/>
          <w:color w:val="000000"/>
          <w:sz w:val="24"/>
          <w:szCs w:val="24"/>
        </w:rPr>
      </w:pPr>
      <w:r w:rsidRPr="0059085B">
        <w:rPr>
          <w:rFonts w:ascii="Times New Roman" w:eastAsia="Noto Sans CJK SC" w:hAnsi="Times New Roman" w:cs="Times New Roman"/>
          <w:color w:val="000000"/>
          <w:sz w:val="24"/>
          <w:szCs w:val="24"/>
        </w:rPr>
        <w:t xml:space="preserve">Бюджетные ассигнования по разделу </w:t>
      </w:r>
      <w:r w:rsidRPr="0059085B">
        <w:rPr>
          <w:rFonts w:ascii="Times New Roman" w:eastAsia="Noto Sans CJK SC" w:hAnsi="Times New Roman" w:cs="Times New Roman"/>
          <w:b/>
          <w:color w:val="000000"/>
          <w:sz w:val="24"/>
          <w:szCs w:val="24"/>
        </w:rPr>
        <w:t>«Национальная экономика»</w:t>
      </w:r>
      <w:r w:rsidRPr="0059085B">
        <w:rPr>
          <w:rFonts w:ascii="Times New Roman" w:eastAsia="Noto Sans CJK SC" w:hAnsi="Times New Roman" w:cs="Times New Roman"/>
          <w:color w:val="000000"/>
          <w:sz w:val="24"/>
          <w:szCs w:val="24"/>
        </w:rPr>
        <w:t xml:space="preserve"> запланированы на 2024 год в сумме 1 780 286,00 рублей ( в структуре расходов 17,68%), с ростом к пе</w:t>
      </w:r>
      <w:r w:rsidRPr="0059085B">
        <w:rPr>
          <w:rFonts w:ascii="Times New Roman" w:eastAsia="Noto Sans CJK SC" w:hAnsi="Times New Roman" w:cs="Times New Roman"/>
          <w:color w:val="000000"/>
          <w:sz w:val="24"/>
          <w:szCs w:val="24"/>
        </w:rPr>
        <w:t>р</w:t>
      </w:r>
      <w:r w:rsidRPr="0059085B">
        <w:rPr>
          <w:rFonts w:ascii="Times New Roman" w:eastAsia="Noto Sans CJK SC" w:hAnsi="Times New Roman" w:cs="Times New Roman"/>
          <w:color w:val="000000"/>
          <w:sz w:val="24"/>
          <w:szCs w:val="24"/>
        </w:rPr>
        <w:t xml:space="preserve">воначальной редакции бюджета на 7,86% и со снижением к уточненной редакции на 51,61%, в плановом 2025 году запланированы в сумме 1 852 613,00 рублей с ростом к уровню 2024 года на 4,06% и в 2026 году в сумме 2 465 959,00 рублей с ростом к уровню 2025 года на 33,11%. По подразделу </w:t>
      </w:r>
      <w:r w:rsidRPr="0059085B">
        <w:rPr>
          <w:rFonts w:ascii="Times New Roman" w:eastAsia="Noto Sans CJK SC" w:hAnsi="Times New Roman" w:cs="Times New Roman"/>
          <w:i/>
          <w:color w:val="000000"/>
          <w:sz w:val="24"/>
          <w:szCs w:val="24"/>
        </w:rPr>
        <w:t>«Общеэкономические вопросы»</w:t>
      </w:r>
      <w:r w:rsidRPr="0059085B">
        <w:rPr>
          <w:rFonts w:ascii="Times New Roman" w:eastAsia="Noto Sans CJK SC" w:hAnsi="Times New Roman" w:cs="Times New Roman"/>
          <w:color w:val="000000"/>
          <w:sz w:val="24"/>
          <w:szCs w:val="24"/>
        </w:rPr>
        <w:t xml:space="preserve"> запланировано на 2024 год в сумме 45 570,00 рублей, в плановом году 36 456,00 рублей ежегодно. Испол</w:t>
      </w:r>
      <w:r w:rsidRPr="0059085B">
        <w:rPr>
          <w:rFonts w:ascii="Times New Roman" w:eastAsia="Noto Sans CJK SC" w:hAnsi="Times New Roman" w:cs="Times New Roman"/>
          <w:color w:val="000000"/>
          <w:sz w:val="24"/>
          <w:szCs w:val="24"/>
        </w:rPr>
        <w:t>ь</w:t>
      </w:r>
      <w:r w:rsidRPr="0059085B">
        <w:rPr>
          <w:rFonts w:ascii="Times New Roman" w:eastAsia="Noto Sans CJK SC" w:hAnsi="Times New Roman" w:cs="Times New Roman"/>
          <w:color w:val="000000"/>
          <w:sz w:val="24"/>
          <w:szCs w:val="24"/>
        </w:rPr>
        <w:t>зование средств планируется в рамках подпрограмма "Содействие занятости населения в Вольновском сельском поселении Полтавского муниципального района Омской области»</w:t>
      </w:r>
      <w:r w:rsidR="009636A9" w:rsidRPr="0059085B">
        <w:rPr>
          <w:rFonts w:ascii="Times New Roman" w:eastAsia="Noto Sans CJK SC" w:hAnsi="Times New Roman" w:cs="Times New Roman"/>
          <w:color w:val="000000"/>
          <w:sz w:val="24"/>
          <w:szCs w:val="24"/>
        </w:rPr>
        <w:t xml:space="preserve"> для участие в организации и финансировании временного трудоустройства несоверше</w:t>
      </w:r>
      <w:r w:rsidR="009636A9" w:rsidRPr="0059085B">
        <w:rPr>
          <w:rFonts w:ascii="Times New Roman" w:eastAsia="Noto Sans CJK SC" w:hAnsi="Times New Roman" w:cs="Times New Roman"/>
          <w:color w:val="000000"/>
          <w:sz w:val="24"/>
          <w:szCs w:val="24"/>
        </w:rPr>
        <w:t>н</w:t>
      </w:r>
      <w:r w:rsidR="009636A9" w:rsidRPr="0059085B">
        <w:rPr>
          <w:rFonts w:ascii="Times New Roman" w:eastAsia="Noto Sans CJK SC" w:hAnsi="Times New Roman" w:cs="Times New Roman"/>
          <w:color w:val="000000"/>
          <w:sz w:val="24"/>
          <w:szCs w:val="24"/>
        </w:rPr>
        <w:t>нолетних граждан в возрасте от 14 до 18 лет за счет средств местного бюджета Вольно</w:t>
      </w:r>
      <w:r w:rsidR="009636A9" w:rsidRPr="0059085B">
        <w:rPr>
          <w:rFonts w:ascii="Times New Roman" w:eastAsia="Noto Sans CJK SC" w:hAnsi="Times New Roman" w:cs="Times New Roman"/>
          <w:color w:val="000000"/>
          <w:sz w:val="24"/>
          <w:szCs w:val="24"/>
        </w:rPr>
        <w:t>в</w:t>
      </w:r>
      <w:r w:rsidR="009636A9" w:rsidRPr="0059085B">
        <w:rPr>
          <w:rFonts w:ascii="Times New Roman" w:eastAsia="Noto Sans CJK SC" w:hAnsi="Times New Roman" w:cs="Times New Roman"/>
          <w:color w:val="000000"/>
          <w:sz w:val="24"/>
          <w:szCs w:val="24"/>
        </w:rPr>
        <w:lastRenderedPageBreak/>
        <w:t>ского сельского поселения, для участие в организации и финансировании временного тр</w:t>
      </w:r>
      <w:r w:rsidR="009636A9" w:rsidRPr="0059085B">
        <w:rPr>
          <w:rFonts w:ascii="Times New Roman" w:eastAsia="Noto Sans CJK SC" w:hAnsi="Times New Roman" w:cs="Times New Roman"/>
          <w:color w:val="000000"/>
          <w:sz w:val="24"/>
          <w:szCs w:val="24"/>
        </w:rPr>
        <w:t>у</w:t>
      </w:r>
      <w:r w:rsidR="009636A9" w:rsidRPr="0059085B">
        <w:rPr>
          <w:rFonts w:ascii="Times New Roman" w:eastAsia="Noto Sans CJK SC" w:hAnsi="Times New Roman" w:cs="Times New Roman"/>
          <w:color w:val="000000"/>
          <w:sz w:val="24"/>
          <w:szCs w:val="24"/>
        </w:rPr>
        <w:t>доустройства безработных граждан, испытывающих трудности в поисках работы за счет средств местного бюджета Вольновского сельского поселения.</w:t>
      </w:r>
    </w:p>
    <w:p w:rsidR="009636A9" w:rsidRPr="0059085B" w:rsidRDefault="009636A9" w:rsidP="00F23713">
      <w:pPr>
        <w:suppressAutoHyphens w:val="0"/>
        <w:autoSpaceDE w:val="0"/>
        <w:autoSpaceDN w:val="0"/>
        <w:adjustRightInd w:val="0"/>
        <w:spacing w:after="0" w:line="240" w:lineRule="auto"/>
        <w:ind w:firstLine="709"/>
        <w:jc w:val="both"/>
        <w:rPr>
          <w:rFonts w:ascii="Times New Roman" w:eastAsia="Noto Sans CJK SC" w:hAnsi="Times New Roman" w:cs="Times New Roman"/>
          <w:color w:val="000000"/>
          <w:sz w:val="24"/>
          <w:szCs w:val="24"/>
        </w:rPr>
      </w:pPr>
      <w:r w:rsidRPr="0059085B">
        <w:rPr>
          <w:rFonts w:ascii="Times New Roman" w:eastAsia="Noto Sans CJK SC" w:hAnsi="Times New Roman" w:cs="Times New Roman"/>
          <w:color w:val="000000"/>
          <w:sz w:val="24"/>
          <w:szCs w:val="24"/>
        </w:rPr>
        <w:t xml:space="preserve">По подразделу </w:t>
      </w:r>
      <w:r w:rsidRPr="0059085B">
        <w:rPr>
          <w:rFonts w:ascii="Times New Roman" w:eastAsia="Noto Sans CJK SC" w:hAnsi="Times New Roman" w:cs="Times New Roman"/>
          <w:i/>
          <w:color w:val="000000"/>
          <w:sz w:val="24"/>
          <w:szCs w:val="24"/>
        </w:rPr>
        <w:t>«Дорожное хозяйство (дорожные фонды)»</w:t>
      </w:r>
      <w:r w:rsidRPr="0059085B">
        <w:rPr>
          <w:rFonts w:ascii="Times New Roman" w:eastAsia="Noto Sans CJK SC" w:hAnsi="Times New Roman" w:cs="Times New Roman"/>
          <w:color w:val="000000"/>
          <w:sz w:val="24"/>
          <w:szCs w:val="24"/>
        </w:rPr>
        <w:t xml:space="preserve"> запланированы средства в сумме 1 719 716,00 рублей на 2024 год, 1 759 357,00 рублей в 2025 году, 2 372 703,00 рублей в 2026 году.</w:t>
      </w:r>
      <w:bookmarkStart w:id="17" w:name="OLE_LINK20"/>
      <w:bookmarkStart w:id="18" w:name="OLE_LINK19"/>
      <w:r w:rsidRPr="0059085B">
        <w:rPr>
          <w:rFonts w:ascii="Times New Roman" w:eastAsia="Noto Sans CJK SC" w:hAnsi="Times New Roman" w:cs="Times New Roman"/>
          <w:color w:val="000000"/>
          <w:sz w:val="24"/>
          <w:szCs w:val="24"/>
        </w:rPr>
        <w:t xml:space="preserve"> </w:t>
      </w:r>
      <w:r w:rsidR="009D4E5A" w:rsidRPr="0059085B">
        <w:rPr>
          <w:rFonts w:ascii="Times New Roman" w:hAnsi="Times New Roman" w:cs="Times New Roman"/>
          <w:sz w:val="24"/>
          <w:szCs w:val="24"/>
        </w:rPr>
        <w:t>Объем бюджетных ассигнований дорожного фонда</w:t>
      </w:r>
      <w:r w:rsidRPr="0059085B">
        <w:rPr>
          <w:rFonts w:ascii="Times New Roman" w:hAnsi="Times New Roman" w:cs="Times New Roman"/>
          <w:sz w:val="24"/>
          <w:szCs w:val="24"/>
        </w:rPr>
        <w:t xml:space="preserve"> </w:t>
      </w:r>
      <w:r w:rsidR="009D4E5A" w:rsidRPr="0059085B">
        <w:rPr>
          <w:rFonts w:ascii="Times New Roman" w:hAnsi="Times New Roman" w:cs="Times New Roman"/>
          <w:sz w:val="24"/>
          <w:szCs w:val="24"/>
        </w:rPr>
        <w:t>на трехлетний п</w:t>
      </w:r>
      <w:r w:rsidR="009D4E5A" w:rsidRPr="0059085B">
        <w:rPr>
          <w:rFonts w:ascii="Times New Roman" w:hAnsi="Times New Roman" w:cs="Times New Roman"/>
          <w:sz w:val="24"/>
          <w:szCs w:val="24"/>
        </w:rPr>
        <w:t>е</w:t>
      </w:r>
      <w:r w:rsidR="009D4E5A" w:rsidRPr="0059085B">
        <w:rPr>
          <w:rFonts w:ascii="Times New Roman" w:hAnsi="Times New Roman" w:cs="Times New Roman"/>
          <w:sz w:val="24"/>
          <w:szCs w:val="24"/>
        </w:rPr>
        <w:t>риод сформирован с учетом требований п.5 ст.179.4. БК РФ</w:t>
      </w:r>
      <w:bookmarkEnd w:id="17"/>
      <w:bookmarkEnd w:id="18"/>
      <w:r w:rsidR="009D4E5A" w:rsidRPr="0059085B">
        <w:rPr>
          <w:rFonts w:ascii="Times New Roman" w:hAnsi="Times New Roman" w:cs="Times New Roman"/>
          <w:sz w:val="24"/>
          <w:szCs w:val="24"/>
        </w:rPr>
        <w:t>.</w:t>
      </w:r>
      <w:r w:rsidRPr="0059085B">
        <w:rPr>
          <w:rFonts w:ascii="Times New Roman" w:hAnsi="Times New Roman" w:cs="Times New Roman"/>
          <w:sz w:val="24"/>
          <w:szCs w:val="24"/>
        </w:rPr>
        <w:t xml:space="preserve"> Использование средств пл</w:t>
      </w:r>
      <w:r w:rsidRPr="0059085B">
        <w:rPr>
          <w:rFonts w:ascii="Times New Roman" w:hAnsi="Times New Roman" w:cs="Times New Roman"/>
          <w:sz w:val="24"/>
          <w:szCs w:val="24"/>
        </w:rPr>
        <w:t>а</w:t>
      </w:r>
      <w:r w:rsidRPr="0059085B">
        <w:rPr>
          <w:rFonts w:ascii="Times New Roman" w:hAnsi="Times New Roman" w:cs="Times New Roman"/>
          <w:sz w:val="24"/>
          <w:szCs w:val="24"/>
        </w:rPr>
        <w:t>нируется для о</w:t>
      </w:r>
      <w:r w:rsidRPr="0059085B">
        <w:rPr>
          <w:rFonts w:ascii="Times New Roman" w:eastAsia="Noto Sans CJK SC" w:hAnsi="Times New Roman" w:cs="Times New Roman"/>
          <w:color w:val="000000"/>
          <w:sz w:val="24"/>
          <w:szCs w:val="24"/>
        </w:rPr>
        <w:t>беспечения требуемого технического состояния автомобильных дорог на территории Вольновского сельского поселения (работы по содержанию, ремонту и моде</w:t>
      </w:r>
      <w:r w:rsidRPr="0059085B">
        <w:rPr>
          <w:rFonts w:ascii="Times New Roman" w:eastAsia="Noto Sans CJK SC" w:hAnsi="Times New Roman" w:cs="Times New Roman"/>
          <w:color w:val="000000"/>
          <w:sz w:val="24"/>
          <w:szCs w:val="24"/>
        </w:rPr>
        <w:t>р</w:t>
      </w:r>
      <w:r w:rsidRPr="0059085B">
        <w:rPr>
          <w:rFonts w:ascii="Times New Roman" w:eastAsia="Noto Sans CJK SC" w:hAnsi="Times New Roman" w:cs="Times New Roman"/>
          <w:color w:val="000000"/>
          <w:sz w:val="24"/>
          <w:szCs w:val="24"/>
        </w:rPr>
        <w:t>низации автомобильных дорог; повышения безопасности дорожного движения).</w:t>
      </w:r>
    </w:p>
    <w:p w:rsidR="009636A9" w:rsidRPr="0059085B" w:rsidRDefault="009636A9" w:rsidP="00F23713">
      <w:pPr>
        <w:suppressAutoHyphens w:val="0"/>
        <w:autoSpaceDE w:val="0"/>
        <w:autoSpaceDN w:val="0"/>
        <w:adjustRightInd w:val="0"/>
        <w:spacing w:after="0" w:line="240" w:lineRule="auto"/>
        <w:ind w:firstLine="709"/>
        <w:jc w:val="both"/>
        <w:rPr>
          <w:rFonts w:ascii="Times New Roman" w:eastAsia="Noto Sans CJK SC" w:hAnsi="Times New Roman" w:cs="Times New Roman"/>
          <w:color w:val="000000"/>
          <w:sz w:val="24"/>
          <w:szCs w:val="24"/>
        </w:rPr>
      </w:pPr>
      <w:r w:rsidRPr="0059085B">
        <w:rPr>
          <w:rFonts w:ascii="Times New Roman" w:eastAsia="Noto Sans CJK SC" w:hAnsi="Times New Roman" w:cs="Times New Roman"/>
          <w:color w:val="000000"/>
          <w:sz w:val="24"/>
          <w:szCs w:val="24"/>
        </w:rPr>
        <w:t>По подразделу «</w:t>
      </w:r>
      <w:r w:rsidRPr="0059085B">
        <w:rPr>
          <w:rFonts w:ascii="Times New Roman" w:eastAsia="Noto Sans CJK SC" w:hAnsi="Times New Roman" w:cs="Times New Roman"/>
          <w:i/>
          <w:color w:val="000000"/>
          <w:sz w:val="24"/>
          <w:szCs w:val="24"/>
        </w:rPr>
        <w:t>Другие вопросы в области национальной экономики»</w:t>
      </w:r>
      <w:r w:rsidRPr="0059085B">
        <w:rPr>
          <w:rFonts w:ascii="Times New Roman" w:eastAsia="Noto Sans CJK SC" w:hAnsi="Times New Roman" w:cs="Times New Roman"/>
          <w:color w:val="000000"/>
          <w:sz w:val="24"/>
          <w:szCs w:val="24"/>
        </w:rPr>
        <w:t xml:space="preserve"> запланиров</w:t>
      </w:r>
      <w:r w:rsidRPr="0059085B">
        <w:rPr>
          <w:rFonts w:ascii="Times New Roman" w:eastAsia="Noto Sans CJK SC" w:hAnsi="Times New Roman" w:cs="Times New Roman"/>
          <w:color w:val="000000"/>
          <w:sz w:val="24"/>
          <w:szCs w:val="24"/>
        </w:rPr>
        <w:t>а</w:t>
      </w:r>
      <w:r w:rsidRPr="0059085B">
        <w:rPr>
          <w:rFonts w:ascii="Times New Roman" w:eastAsia="Noto Sans CJK SC" w:hAnsi="Times New Roman" w:cs="Times New Roman"/>
          <w:color w:val="000000"/>
          <w:sz w:val="24"/>
          <w:szCs w:val="24"/>
        </w:rPr>
        <w:t>ны средства на 2024 год в сумме 15 000,00, на плановый период 56 800,00 рублей ежего</w:t>
      </w:r>
      <w:r w:rsidRPr="0059085B">
        <w:rPr>
          <w:rFonts w:ascii="Times New Roman" w:eastAsia="Noto Sans CJK SC" w:hAnsi="Times New Roman" w:cs="Times New Roman"/>
          <w:color w:val="000000"/>
          <w:sz w:val="24"/>
          <w:szCs w:val="24"/>
        </w:rPr>
        <w:t>д</w:t>
      </w:r>
      <w:r w:rsidRPr="0059085B">
        <w:rPr>
          <w:rFonts w:ascii="Times New Roman" w:eastAsia="Noto Sans CJK SC" w:hAnsi="Times New Roman" w:cs="Times New Roman"/>
          <w:color w:val="000000"/>
          <w:sz w:val="24"/>
          <w:szCs w:val="24"/>
        </w:rPr>
        <w:t>но. Средства планируются использовать на обеспечение мероприятий по формированию и развитию муниципальной собственности (проведение кадастровых работ в отношении объектов недвижимости, описание места положения границ территориальных зон; разр</w:t>
      </w:r>
      <w:r w:rsidRPr="0059085B">
        <w:rPr>
          <w:rFonts w:ascii="Times New Roman" w:eastAsia="Noto Sans CJK SC" w:hAnsi="Times New Roman" w:cs="Times New Roman"/>
          <w:color w:val="000000"/>
          <w:sz w:val="24"/>
          <w:szCs w:val="24"/>
        </w:rPr>
        <w:t>а</w:t>
      </w:r>
      <w:r w:rsidRPr="0059085B">
        <w:rPr>
          <w:rFonts w:ascii="Times New Roman" w:eastAsia="Noto Sans CJK SC" w:hAnsi="Times New Roman" w:cs="Times New Roman"/>
          <w:color w:val="000000"/>
          <w:sz w:val="24"/>
          <w:szCs w:val="24"/>
        </w:rPr>
        <w:t>ботка графических материалов проекта правил землепользования и застройки).</w:t>
      </w:r>
    </w:p>
    <w:p w:rsidR="00F24F83" w:rsidRPr="0059085B" w:rsidRDefault="009636A9" w:rsidP="00F23713">
      <w:pPr>
        <w:suppressAutoHyphens w:val="0"/>
        <w:autoSpaceDE w:val="0"/>
        <w:autoSpaceDN w:val="0"/>
        <w:adjustRightInd w:val="0"/>
        <w:spacing w:after="0" w:line="240" w:lineRule="auto"/>
        <w:ind w:firstLine="709"/>
        <w:jc w:val="both"/>
        <w:rPr>
          <w:rFonts w:ascii="Times New Roman" w:eastAsia="Noto Sans CJK SC" w:hAnsi="Times New Roman" w:cs="Times New Roman"/>
          <w:color w:val="000000"/>
          <w:sz w:val="24"/>
          <w:szCs w:val="24"/>
        </w:rPr>
      </w:pPr>
      <w:r w:rsidRPr="0059085B">
        <w:rPr>
          <w:rFonts w:ascii="Times New Roman" w:eastAsia="Noto Sans CJK SC" w:hAnsi="Times New Roman" w:cs="Times New Roman"/>
          <w:color w:val="000000"/>
          <w:sz w:val="24"/>
          <w:szCs w:val="24"/>
        </w:rPr>
        <w:t>По разделу «</w:t>
      </w:r>
      <w:r w:rsidRPr="0059085B">
        <w:rPr>
          <w:rFonts w:ascii="Times New Roman" w:eastAsia="Noto Sans CJK SC" w:hAnsi="Times New Roman" w:cs="Times New Roman"/>
          <w:b/>
          <w:color w:val="000000"/>
          <w:sz w:val="24"/>
          <w:szCs w:val="24"/>
        </w:rPr>
        <w:t xml:space="preserve">Жилищно-коммунальное хозяйство» </w:t>
      </w:r>
      <w:r w:rsidRPr="0059085B">
        <w:rPr>
          <w:rFonts w:ascii="Times New Roman" w:eastAsia="Noto Sans CJK SC" w:hAnsi="Times New Roman" w:cs="Times New Roman"/>
          <w:color w:val="000000"/>
          <w:sz w:val="24"/>
          <w:szCs w:val="24"/>
        </w:rPr>
        <w:t>предусмотрены средства в на 2024 год сумме 476 474,00 рублей (в структуре расходов 4,73%)</w:t>
      </w:r>
      <w:r w:rsidR="00F24F83" w:rsidRPr="0059085B">
        <w:rPr>
          <w:rFonts w:ascii="Times New Roman" w:eastAsia="Noto Sans CJK SC" w:hAnsi="Times New Roman" w:cs="Times New Roman"/>
          <w:color w:val="000000"/>
          <w:sz w:val="24"/>
          <w:szCs w:val="24"/>
        </w:rPr>
        <w:t>с ростом к первоначал</w:t>
      </w:r>
      <w:r w:rsidR="00F24F83" w:rsidRPr="0059085B">
        <w:rPr>
          <w:rFonts w:ascii="Times New Roman" w:eastAsia="Noto Sans CJK SC" w:hAnsi="Times New Roman" w:cs="Times New Roman"/>
          <w:color w:val="000000"/>
          <w:sz w:val="24"/>
          <w:szCs w:val="24"/>
        </w:rPr>
        <w:t>ь</w:t>
      </w:r>
      <w:r w:rsidR="00F24F83" w:rsidRPr="0059085B">
        <w:rPr>
          <w:rFonts w:ascii="Times New Roman" w:eastAsia="Noto Sans CJK SC" w:hAnsi="Times New Roman" w:cs="Times New Roman"/>
          <w:color w:val="000000"/>
          <w:sz w:val="24"/>
          <w:szCs w:val="24"/>
        </w:rPr>
        <w:t>ной редакции бюджета 2023года на 14,74% и снижением к уточненной на 90,87%, в пл</w:t>
      </w:r>
      <w:r w:rsidR="00F24F83" w:rsidRPr="0059085B">
        <w:rPr>
          <w:rFonts w:ascii="Times New Roman" w:eastAsia="Noto Sans CJK SC" w:hAnsi="Times New Roman" w:cs="Times New Roman"/>
          <w:color w:val="000000"/>
          <w:sz w:val="24"/>
          <w:szCs w:val="24"/>
        </w:rPr>
        <w:t>а</w:t>
      </w:r>
      <w:r w:rsidR="00F24F83" w:rsidRPr="0059085B">
        <w:rPr>
          <w:rFonts w:ascii="Times New Roman" w:eastAsia="Noto Sans CJK SC" w:hAnsi="Times New Roman" w:cs="Times New Roman"/>
          <w:color w:val="000000"/>
          <w:sz w:val="24"/>
          <w:szCs w:val="24"/>
        </w:rPr>
        <w:t xml:space="preserve">новом периоде 2025 года предусмотрено 409 980,00 рублей со снижением к уровню 2024 года на 13,96% и в 2026 году в сумме 357 320,00 рублей со снижением к уровню 2025 года на 12,84%. По подразделу </w:t>
      </w:r>
      <w:r w:rsidR="00F24F83" w:rsidRPr="0059085B">
        <w:rPr>
          <w:rFonts w:ascii="Times New Roman" w:eastAsia="Noto Sans CJK SC" w:hAnsi="Times New Roman" w:cs="Times New Roman"/>
          <w:i/>
          <w:color w:val="000000"/>
          <w:sz w:val="24"/>
          <w:szCs w:val="24"/>
        </w:rPr>
        <w:t xml:space="preserve">«Коммунальное хозяйство» </w:t>
      </w:r>
      <w:r w:rsidR="00F24F83" w:rsidRPr="0059085B">
        <w:rPr>
          <w:rFonts w:ascii="Times New Roman" w:eastAsia="Noto Sans CJK SC" w:hAnsi="Times New Roman" w:cs="Times New Roman"/>
          <w:color w:val="000000"/>
          <w:sz w:val="24"/>
          <w:szCs w:val="24"/>
        </w:rPr>
        <w:t>предусмотрено 4 000,00 рублей в 2024 году и в плановом периоде 3 200,00 рублей ежегодно. Данные средства планируется исплользовать в рамках подпрограммы "Поддержка жилищно-коммунального хозяйства Вольновского сельского поселения Полтавского муниципального района Омской области" на цели обеспечение населения централизованным водоснабжением.</w:t>
      </w:r>
    </w:p>
    <w:p w:rsidR="00405222" w:rsidRPr="0059085B" w:rsidRDefault="00F24F83" w:rsidP="00F23713">
      <w:pPr>
        <w:suppressAutoHyphens w:val="0"/>
        <w:autoSpaceDE w:val="0"/>
        <w:autoSpaceDN w:val="0"/>
        <w:adjustRightInd w:val="0"/>
        <w:spacing w:after="0" w:line="240" w:lineRule="auto"/>
        <w:ind w:firstLine="709"/>
        <w:jc w:val="both"/>
        <w:rPr>
          <w:rFonts w:ascii="Times New Roman" w:eastAsia="Noto Sans CJK SC" w:hAnsi="Times New Roman" w:cs="Times New Roman"/>
          <w:color w:val="000000"/>
          <w:sz w:val="24"/>
          <w:szCs w:val="24"/>
        </w:rPr>
      </w:pPr>
      <w:r w:rsidRPr="0059085B">
        <w:rPr>
          <w:rFonts w:ascii="Times New Roman" w:eastAsia="Noto Sans CJK SC" w:hAnsi="Times New Roman" w:cs="Times New Roman"/>
          <w:color w:val="000000"/>
          <w:sz w:val="24"/>
          <w:szCs w:val="24"/>
        </w:rPr>
        <w:t xml:space="preserve">По подразделу </w:t>
      </w:r>
      <w:r w:rsidRPr="00F23713">
        <w:rPr>
          <w:rFonts w:ascii="Times New Roman" w:eastAsia="Noto Sans CJK SC" w:hAnsi="Times New Roman" w:cs="Times New Roman"/>
          <w:b/>
          <w:color w:val="000000"/>
          <w:sz w:val="24"/>
          <w:szCs w:val="24"/>
        </w:rPr>
        <w:t>«Благоустройство»</w:t>
      </w:r>
      <w:r w:rsidRPr="0059085B">
        <w:rPr>
          <w:rFonts w:ascii="Times New Roman" w:eastAsia="Noto Sans CJK SC" w:hAnsi="Times New Roman" w:cs="Times New Roman"/>
          <w:color w:val="000000"/>
          <w:sz w:val="24"/>
          <w:szCs w:val="24"/>
        </w:rPr>
        <w:t xml:space="preserve"> запланировано на 2024 год 472 474,00 рублей в плановый 2025 год 406 780,00 рублей и в 2026 год 354 120,00 рублей. Планирование пр</w:t>
      </w:r>
      <w:r w:rsidRPr="0059085B">
        <w:rPr>
          <w:rFonts w:ascii="Times New Roman" w:eastAsia="Noto Sans CJK SC" w:hAnsi="Times New Roman" w:cs="Times New Roman"/>
          <w:color w:val="000000"/>
          <w:sz w:val="24"/>
          <w:szCs w:val="24"/>
        </w:rPr>
        <w:t>о</w:t>
      </w:r>
      <w:r w:rsidRPr="0059085B">
        <w:rPr>
          <w:rFonts w:ascii="Times New Roman" w:eastAsia="Noto Sans CJK SC" w:hAnsi="Times New Roman" w:cs="Times New Roman"/>
          <w:color w:val="000000"/>
          <w:sz w:val="24"/>
          <w:szCs w:val="24"/>
        </w:rPr>
        <w:t>изведено в рамках подпрограммы "Поддержка жилищно-коммунального хозяйства Вол</w:t>
      </w:r>
      <w:r w:rsidRPr="0059085B">
        <w:rPr>
          <w:rFonts w:ascii="Times New Roman" w:eastAsia="Noto Sans CJK SC" w:hAnsi="Times New Roman" w:cs="Times New Roman"/>
          <w:color w:val="000000"/>
          <w:sz w:val="24"/>
          <w:szCs w:val="24"/>
        </w:rPr>
        <w:t>ь</w:t>
      </w:r>
      <w:r w:rsidRPr="0059085B">
        <w:rPr>
          <w:rFonts w:ascii="Times New Roman" w:eastAsia="Noto Sans CJK SC" w:hAnsi="Times New Roman" w:cs="Times New Roman"/>
          <w:color w:val="000000"/>
          <w:sz w:val="24"/>
          <w:szCs w:val="24"/>
        </w:rPr>
        <w:t>новского сельского поселения Полтавского муниципального района Омской области" на организацию уличного освещения; на проведение мероприятий по озеленению террит</w:t>
      </w:r>
      <w:r w:rsidRPr="0059085B">
        <w:rPr>
          <w:rFonts w:ascii="Times New Roman" w:eastAsia="Noto Sans CJK SC" w:hAnsi="Times New Roman" w:cs="Times New Roman"/>
          <w:color w:val="000000"/>
          <w:sz w:val="24"/>
          <w:szCs w:val="24"/>
        </w:rPr>
        <w:t>о</w:t>
      </w:r>
      <w:r w:rsidRPr="0059085B">
        <w:rPr>
          <w:rFonts w:ascii="Times New Roman" w:eastAsia="Noto Sans CJK SC" w:hAnsi="Times New Roman" w:cs="Times New Roman"/>
          <w:color w:val="000000"/>
          <w:sz w:val="24"/>
          <w:szCs w:val="24"/>
        </w:rPr>
        <w:t>рии поселения, на мероприятия по организации и содержанию мест захоронения; прочие работы по благоустройству; на мероприятия по борьбе с наркосодержащими растениями; на реализацию инициативного проекта "Благоустройство общественной территории пр</w:t>
      </w:r>
      <w:r w:rsidRPr="0059085B">
        <w:rPr>
          <w:rFonts w:ascii="Times New Roman" w:eastAsia="Noto Sans CJK SC" w:hAnsi="Times New Roman" w:cs="Times New Roman"/>
          <w:color w:val="000000"/>
          <w:sz w:val="24"/>
          <w:szCs w:val="24"/>
        </w:rPr>
        <w:t>и</w:t>
      </w:r>
      <w:r w:rsidRPr="0059085B">
        <w:rPr>
          <w:rFonts w:ascii="Times New Roman" w:eastAsia="Noto Sans CJK SC" w:hAnsi="Times New Roman" w:cs="Times New Roman"/>
          <w:color w:val="000000"/>
          <w:sz w:val="24"/>
          <w:szCs w:val="24"/>
        </w:rPr>
        <w:t>легающей к памятнику воинам-землякам, погибшим в годы ВОВ 1941-1945 г."</w:t>
      </w:r>
      <w:r w:rsidR="00405222" w:rsidRPr="0059085B">
        <w:rPr>
          <w:rFonts w:ascii="Times New Roman" w:eastAsia="Noto Sans CJK SC" w:hAnsi="Times New Roman" w:cs="Times New Roman"/>
          <w:color w:val="000000"/>
          <w:sz w:val="24"/>
          <w:szCs w:val="24"/>
        </w:rPr>
        <w:t>; на п</w:t>
      </w:r>
      <w:r w:rsidRPr="0059085B">
        <w:rPr>
          <w:rFonts w:ascii="Times New Roman" w:eastAsia="Noto Sans CJK SC" w:hAnsi="Times New Roman" w:cs="Times New Roman"/>
          <w:color w:val="000000"/>
          <w:sz w:val="24"/>
          <w:szCs w:val="24"/>
        </w:rPr>
        <w:t>ов</w:t>
      </w:r>
      <w:r w:rsidRPr="0059085B">
        <w:rPr>
          <w:rFonts w:ascii="Times New Roman" w:eastAsia="Noto Sans CJK SC" w:hAnsi="Times New Roman" w:cs="Times New Roman"/>
          <w:color w:val="000000"/>
          <w:sz w:val="24"/>
          <w:szCs w:val="24"/>
        </w:rPr>
        <w:t>ы</w:t>
      </w:r>
      <w:r w:rsidRPr="0059085B">
        <w:rPr>
          <w:rFonts w:ascii="Times New Roman" w:eastAsia="Noto Sans CJK SC" w:hAnsi="Times New Roman" w:cs="Times New Roman"/>
          <w:color w:val="000000"/>
          <w:sz w:val="24"/>
          <w:szCs w:val="24"/>
        </w:rPr>
        <w:t>шение эффективности использования топливно-энергетических ресурсов»</w:t>
      </w:r>
      <w:r w:rsidR="00405222" w:rsidRPr="0059085B">
        <w:rPr>
          <w:rFonts w:ascii="Times New Roman" w:eastAsia="Noto Sans CJK SC" w:hAnsi="Times New Roman" w:cs="Times New Roman"/>
          <w:color w:val="000000"/>
          <w:sz w:val="24"/>
          <w:szCs w:val="24"/>
        </w:rPr>
        <w:t xml:space="preserve"> с целью вн</w:t>
      </w:r>
      <w:r w:rsidR="00405222" w:rsidRPr="0059085B">
        <w:rPr>
          <w:rFonts w:ascii="Times New Roman" w:eastAsia="Noto Sans CJK SC" w:hAnsi="Times New Roman" w:cs="Times New Roman"/>
          <w:color w:val="000000"/>
          <w:sz w:val="24"/>
          <w:szCs w:val="24"/>
        </w:rPr>
        <w:t>е</w:t>
      </w:r>
      <w:r w:rsidR="00405222" w:rsidRPr="0059085B">
        <w:rPr>
          <w:rFonts w:ascii="Times New Roman" w:eastAsia="Noto Sans CJK SC" w:hAnsi="Times New Roman" w:cs="Times New Roman"/>
          <w:color w:val="000000"/>
          <w:sz w:val="24"/>
          <w:szCs w:val="24"/>
        </w:rPr>
        <w:t>дрения энергосберегающих мероприятий.</w:t>
      </w:r>
    </w:p>
    <w:p w:rsidR="00405222" w:rsidRPr="0059085B" w:rsidRDefault="00405222" w:rsidP="00F23713">
      <w:pPr>
        <w:suppressAutoHyphens w:val="0"/>
        <w:autoSpaceDE w:val="0"/>
        <w:autoSpaceDN w:val="0"/>
        <w:adjustRightInd w:val="0"/>
        <w:spacing w:after="0" w:line="240" w:lineRule="auto"/>
        <w:ind w:firstLine="709"/>
        <w:jc w:val="both"/>
        <w:rPr>
          <w:rFonts w:ascii="Times New Roman" w:eastAsia="Noto Sans CJK SC" w:hAnsi="Times New Roman" w:cs="Times New Roman"/>
          <w:color w:val="000000"/>
          <w:sz w:val="24"/>
          <w:szCs w:val="24"/>
        </w:rPr>
      </w:pPr>
      <w:r w:rsidRPr="0059085B">
        <w:rPr>
          <w:rFonts w:ascii="Times New Roman" w:eastAsia="Noto Sans CJK SC" w:hAnsi="Times New Roman" w:cs="Times New Roman"/>
          <w:color w:val="000000"/>
          <w:sz w:val="24"/>
          <w:szCs w:val="24"/>
        </w:rPr>
        <w:t xml:space="preserve">По подразделу </w:t>
      </w:r>
      <w:r w:rsidRPr="00F23713">
        <w:rPr>
          <w:rFonts w:ascii="Times New Roman" w:eastAsia="Noto Sans CJK SC" w:hAnsi="Times New Roman" w:cs="Times New Roman"/>
          <w:b/>
          <w:color w:val="000000"/>
          <w:sz w:val="24"/>
          <w:szCs w:val="24"/>
        </w:rPr>
        <w:t>«Образование»</w:t>
      </w:r>
      <w:r w:rsidRPr="0059085B">
        <w:rPr>
          <w:rFonts w:ascii="Times New Roman" w:eastAsia="Noto Sans CJK SC" w:hAnsi="Times New Roman" w:cs="Times New Roman"/>
          <w:color w:val="000000"/>
          <w:sz w:val="24"/>
          <w:szCs w:val="24"/>
        </w:rPr>
        <w:t xml:space="preserve"> на 2024 запланировано 11 500,00 рулей (в структ</w:t>
      </w:r>
      <w:r w:rsidRPr="0059085B">
        <w:rPr>
          <w:rFonts w:ascii="Times New Roman" w:eastAsia="Noto Sans CJK SC" w:hAnsi="Times New Roman" w:cs="Times New Roman"/>
          <w:color w:val="000000"/>
          <w:sz w:val="24"/>
          <w:szCs w:val="24"/>
        </w:rPr>
        <w:t>у</w:t>
      </w:r>
      <w:r w:rsidRPr="0059085B">
        <w:rPr>
          <w:rFonts w:ascii="Times New Roman" w:eastAsia="Noto Sans CJK SC" w:hAnsi="Times New Roman" w:cs="Times New Roman"/>
          <w:color w:val="000000"/>
          <w:sz w:val="24"/>
          <w:szCs w:val="24"/>
        </w:rPr>
        <w:t>ре расходов 0,11%) со снижением к первоначальной редакции 2023 года на 23,33% и к уточненной редакции с ростом на 23,39%, в плановом периоде 2025 года 10 800,00 рублей со снижением к уровню 2024 года на 6,09% и в2026 году 8 300,00 рублей со снижением к уровню 2025 года на 23,15%. Средства запланированы по подразделу «Молодежная пол</w:t>
      </w:r>
      <w:r w:rsidRPr="0059085B">
        <w:rPr>
          <w:rFonts w:ascii="Times New Roman" w:eastAsia="Noto Sans CJK SC" w:hAnsi="Times New Roman" w:cs="Times New Roman"/>
          <w:color w:val="000000"/>
          <w:sz w:val="24"/>
          <w:szCs w:val="24"/>
        </w:rPr>
        <w:t>и</w:t>
      </w:r>
      <w:r w:rsidRPr="0059085B">
        <w:rPr>
          <w:rFonts w:ascii="Times New Roman" w:eastAsia="Noto Sans CJK SC" w:hAnsi="Times New Roman" w:cs="Times New Roman"/>
          <w:color w:val="000000"/>
          <w:sz w:val="24"/>
          <w:szCs w:val="24"/>
        </w:rPr>
        <w:t>тика» в рамках подпрограммы «Развитие молодежной политики, культуры, физической культуры и спорта на территории Вольновского сельского поселения Полтавского мун</w:t>
      </w:r>
      <w:r w:rsidRPr="0059085B">
        <w:rPr>
          <w:rFonts w:ascii="Times New Roman" w:eastAsia="Noto Sans CJK SC" w:hAnsi="Times New Roman" w:cs="Times New Roman"/>
          <w:color w:val="000000"/>
          <w:sz w:val="24"/>
          <w:szCs w:val="24"/>
        </w:rPr>
        <w:t>и</w:t>
      </w:r>
      <w:r w:rsidRPr="0059085B">
        <w:rPr>
          <w:rFonts w:ascii="Times New Roman" w:eastAsia="Noto Sans CJK SC" w:hAnsi="Times New Roman" w:cs="Times New Roman"/>
          <w:color w:val="000000"/>
          <w:sz w:val="24"/>
          <w:szCs w:val="24"/>
        </w:rPr>
        <w:t>ципального района Омской области» на проведение мероприятий для детей и молодежи.</w:t>
      </w:r>
    </w:p>
    <w:p w:rsidR="0059085B" w:rsidRPr="0059085B" w:rsidRDefault="00405222" w:rsidP="00F23713">
      <w:pPr>
        <w:suppressAutoHyphens w:val="0"/>
        <w:autoSpaceDE w:val="0"/>
        <w:autoSpaceDN w:val="0"/>
        <w:adjustRightInd w:val="0"/>
        <w:spacing w:after="0" w:line="240" w:lineRule="auto"/>
        <w:ind w:firstLine="709"/>
        <w:jc w:val="both"/>
        <w:rPr>
          <w:rFonts w:ascii="Times New Roman" w:eastAsia="Noto Sans CJK SC" w:hAnsi="Times New Roman" w:cs="Times New Roman"/>
          <w:color w:val="000000"/>
          <w:sz w:val="24"/>
          <w:szCs w:val="24"/>
        </w:rPr>
      </w:pPr>
      <w:r w:rsidRPr="0059085B">
        <w:rPr>
          <w:rFonts w:ascii="Times New Roman" w:eastAsia="Noto Sans CJK SC" w:hAnsi="Times New Roman" w:cs="Times New Roman"/>
          <w:color w:val="000000"/>
          <w:sz w:val="24"/>
          <w:szCs w:val="24"/>
        </w:rPr>
        <w:t xml:space="preserve">Бюджетные ассигнования по разделу </w:t>
      </w:r>
      <w:r w:rsidRPr="00F23713">
        <w:rPr>
          <w:rFonts w:ascii="Times New Roman" w:eastAsia="Noto Sans CJK SC" w:hAnsi="Times New Roman" w:cs="Times New Roman"/>
          <w:b/>
          <w:color w:val="000000"/>
          <w:sz w:val="24"/>
          <w:szCs w:val="24"/>
        </w:rPr>
        <w:t xml:space="preserve">«Культура, кинематография» </w:t>
      </w:r>
      <w:r w:rsidRPr="0059085B">
        <w:rPr>
          <w:rFonts w:ascii="Times New Roman" w:eastAsia="Noto Sans CJK SC" w:hAnsi="Times New Roman" w:cs="Times New Roman"/>
          <w:color w:val="000000"/>
          <w:sz w:val="24"/>
          <w:szCs w:val="24"/>
        </w:rPr>
        <w:t>запланиров</w:t>
      </w:r>
      <w:r w:rsidRPr="0059085B">
        <w:rPr>
          <w:rFonts w:ascii="Times New Roman" w:eastAsia="Noto Sans CJK SC" w:hAnsi="Times New Roman" w:cs="Times New Roman"/>
          <w:color w:val="000000"/>
          <w:sz w:val="24"/>
          <w:szCs w:val="24"/>
        </w:rPr>
        <w:t>а</w:t>
      </w:r>
      <w:r w:rsidRPr="0059085B">
        <w:rPr>
          <w:rFonts w:ascii="Times New Roman" w:eastAsia="Noto Sans CJK SC" w:hAnsi="Times New Roman" w:cs="Times New Roman"/>
          <w:color w:val="000000"/>
          <w:sz w:val="24"/>
          <w:szCs w:val="24"/>
        </w:rPr>
        <w:t xml:space="preserve">ны на 2024 год  в сумме 3 660 366,25 рублей (в структуре расходов 36,35%) с ростом к первоначальной и уточненной редакции 2023 года на 2,07% и 1,20% соответственно, в плановом 2025 году запланировано 3 840 654,00 рублей с ростом к уровню 2024 года на 4,93%. В 2026 году в сумме 3 946 940,00 рублей с ростом к уровню 2025 года на 2,77%. По подразделу «Культура» средства спредусмотрены в рамках </w:t>
      </w:r>
      <w:r w:rsidR="0059085B" w:rsidRPr="0059085B">
        <w:rPr>
          <w:rFonts w:ascii="Times New Roman" w:eastAsia="Noto Sans CJK SC" w:hAnsi="Times New Roman" w:cs="Times New Roman"/>
          <w:color w:val="000000"/>
          <w:sz w:val="24"/>
          <w:szCs w:val="24"/>
        </w:rPr>
        <w:t>п</w:t>
      </w:r>
      <w:r w:rsidRPr="0059085B">
        <w:rPr>
          <w:rFonts w:ascii="Times New Roman" w:eastAsia="Noto Sans CJK SC" w:hAnsi="Times New Roman" w:cs="Times New Roman"/>
          <w:color w:val="000000"/>
          <w:sz w:val="24"/>
          <w:szCs w:val="24"/>
        </w:rPr>
        <w:t>одпрограмм</w:t>
      </w:r>
      <w:r w:rsidR="0059085B" w:rsidRPr="0059085B">
        <w:rPr>
          <w:rFonts w:ascii="Times New Roman" w:eastAsia="Noto Sans CJK SC" w:hAnsi="Times New Roman" w:cs="Times New Roman"/>
          <w:color w:val="000000"/>
          <w:sz w:val="24"/>
          <w:szCs w:val="24"/>
        </w:rPr>
        <w:t>ы</w:t>
      </w:r>
      <w:r w:rsidRPr="0059085B">
        <w:rPr>
          <w:rFonts w:ascii="Times New Roman" w:eastAsia="Noto Sans CJK SC" w:hAnsi="Times New Roman" w:cs="Times New Roman"/>
          <w:color w:val="000000"/>
          <w:sz w:val="24"/>
          <w:szCs w:val="24"/>
        </w:rPr>
        <w:t xml:space="preserve"> «Развитие м</w:t>
      </w:r>
      <w:r w:rsidRPr="0059085B">
        <w:rPr>
          <w:rFonts w:ascii="Times New Roman" w:eastAsia="Noto Sans CJK SC" w:hAnsi="Times New Roman" w:cs="Times New Roman"/>
          <w:color w:val="000000"/>
          <w:sz w:val="24"/>
          <w:szCs w:val="24"/>
        </w:rPr>
        <w:t>о</w:t>
      </w:r>
      <w:r w:rsidRPr="0059085B">
        <w:rPr>
          <w:rFonts w:ascii="Times New Roman" w:eastAsia="Noto Sans CJK SC" w:hAnsi="Times New Roman" w:cs="Times New Roman"/>
          <w:color w:val="000000"/>
          <w:sz w:val="24"/>
          <w:szCs w:val="24"/>
        </w:rPr>
        <w:t>лодежной политики, культуры, физической культуры и спорта на территории Вольновск</w:t>
      </w:r>
      <w:r w:rsidRPr="0059085B">
        <w:rPr>
          <w:rFonts w:ascii="Times New Roman" w:eastAsia="Noto Sans CJK SC" w:hAnsi="Times New Roman" w:cs="Times New Roman"/>
          <w:color w:val="000000"/>
          <w:sz w:val="24"/>
          <w:szCs w:val="24"/>
        </w:rPr>
        <w:t>о</w:t>
      </w:r>
      <w:r w:rsidRPr="0059085B">
        <w:rPr>
          <w:rFonts w:ascii="Times New Roman" w:eastAsia="Noto Sans CJK SC" w:hAnsi="Times New Roman" w:cs="Times New Roman"/>
          <w:color w:val="000000"/>
          <w:sz w:val="24"/>
          <w:szCs w:val="24"/>
        </w:rPr>
        <w:lastRenderedPageBreak/>
        <w:t>го сельского поселения Полтавского муниципального района Омской области»</w:t>
      </w:r>
      <w:r w:rsidR="0059085B" w:rsidRPr="0059085B">
        <w:rPr>
          <w:rFonts w:ascii="Times New Roman" w:eastAsia="Noto Sans CJK SC" w:hAnsi="Times New Roman" w:cs="Times New Roman"/>
          <w:color w:val="000000"/>
          <w:sz w:val="24"/>
          <w:szCs w:val="24"/>
        </w:rPr>
        <w:t xml:space="preserve"> на пров</w:t>
      </w:r>
      <w:r w:rsidR="0059085B" w:rsidRPr="0059085B">
        <w:rPr>
          <w:rFonts w:ascii="Times New Roman" w:eastAsia="Noto Sans CJK SC" w:hAnsi="Times New Roman" w:cs="Times New Roman"/>
          <w:color w:val="000000"/>
          <w:sz w:val="24"/>
          <w:szCs w:val="24"/>
        </w:rPr>
        <w:t>е</w:t>
      </w:r>
      <w:r w:rsidR="0059085B" w:rsidRPr="0059085B">
        <w:rPr>
          <w:rFonts w:ascii="Times New Roman" w:eastAsia="Noto Sans CJK SC" w:hAnsi="Times New Roman" w:cs="Times New Roman"/>
          <w:color w:val="000000"/>
          <w:sz w:val="24"/>
          <w:szCs w:val="24"/>
        </w:rPr>
        <w:t>дение культурно-массовых мероприятий; в рамках подпрограммы "Муниципальное управление, управление муниципальным имуществом Вольновского сельского поселения" на содержание муниципального имущества.</w:t>
      </w:r>
    </w:p>
    <w:p w:rsidR="0059085B" w:rsidRPr="0059085B" w:rsidRDefault="0059085B" w:rsidP="00F23713">
      <w:pPr>
        <w:suppressAutoHyphens w:val="0"/>
        <w:autoSpaceDE w:val="0"/>
        <w:autoSpaceDN w:val="0"/>
        <w:adjustRightInd w:val="0"/>
        <w:spacing w:after="0" w:line="240" w:lineRule="auto"/>
        <w:ind w:firstLine="709"/>
        <w:jc w:val="both"/>
        <w:rPr>
          <w:rFonts w:ascii="Times New Roman" w:eastAsia="Noto Sans CJK SC" w:hAnsi="Times New Roman" w:cs="Times New Roman"/>
          <w:color w:val="000000"/>
          <w:sz w:val="24"/>
          <w:szCs w:val="24"/>
        </w:rPr>
      </w:pPr>
      <w:r w:rsidRPr="0059085B">
        <w:rPr>
          <w:rFonts w:ascii="Times New Roman" w:eastAsia="Noto Sans CJK SC" w:hAnsi="Times New Roman" w:cs="Times New Roman"/>
          <w:color w:val="000000"/>
          <w:sz w:val="24"/>
          <w:szCs w:val="24"/>
        </w:rPr>
        <w:t xml:space="preserve">По разделу </w:t>
      </w:r>
      <w:r w:rsidRPr="00F23713">
        <w:rPr>
          <w:rFonts w:ascii="Times New Roman" w:eastAsia="Noto Sans CJK SC" w:hAnsi="Times New Roman" w:cs="Times New Roman"/>
          <w:b/>
          <w:color w:val="000000"/>
          <w:sz w:val="24"/>
          <w:szCs w:val="24"/>
        </w:rPr>
        <w:t>«Физическая культура и спорт»</w:t>
      </w:r>
      <w:r w:rsidRPr="0059085B">
        <w:rPr>
          <w:rFonts w:ascii="Times New Roman" w:eastAsia="Noto Sans CJK SC" w:hAnsi="Times New Roman" w:cs="Times New Roman"/>
          <w:color w:val="000000"/>
          <w:sz w:val="24"/>
          <w:szCs w:val="24"/>
        </w:rPr>
        <w:t xml:space="preserve"> бюджетные ассигнования пред</w:t>
      </w:r>
      <w:r w:rsidRPr="0059085B">
        <w:rPr>
          <w:rFonts w:ascii="Times New Roman" w:eastAsia="Noto Sans CJK SC" w:hAnsi="Times New Roman" w:cs="Times New Roman"/>
          <w:color w:val="000000"/>
          <w:sz w:val="24"/>
          <w:szCs w:val="24"/>
        </w:rPr>
        <w:t>у</w:t>
      </w:r>
      <w:r w:rsidRPr="0059085B">
        <w:rPr>
          <w:rFonts w:ascii="Times New Roman" w:eastAsia="Noto Sans CJK SC" w:hAnsi="Times New Roman" w:cs="Times New Roman"/>
          <w:color w:val="000000"/>
          <w:sz w:val="24"/>
          <w:szCs w:val="24"/>
        </w:rPr>
        <w:t>смотрены на 2024 год в сумме 65 000,00 рублей (в структуре расходов 0,65%) со снижен</w:t>
      </w:r>
      <w:r w:rsidRPr="0059085B">
        <w:rPr>
          <w:rFonts w:ascii="Times New Roman" w:eastAsia="Noto Sans CJK SC" w:hAnsi="Times New Roman" w:cs="Times New Roman"/>
          <w:color w:val="000000"/>
          <w:sz w:val="24"/>
          <w:szCs w:val="24"/>
        </w:rPr>
        <w:t>и</w:t>
      </w:r>
      <w:r w:rsidRPr="0059085B">
        <w:rPr>
          <w:rFonts w:ascii="Times New Roman" w:eastAsia="Noto Sans CJK SC" w:hAnsi="Times New Roman" w:cs="Times New Roman"/>
          <w:color w:val="000000"/>
          <w:sz w:val="24"/>
          <w:szCs w:val="24"/>
        </w:rPr>
        <w:t>ем к первоначальной и уточненной редакции бюджета 2023 года на 31,58% и 64,86% соо</w:t>
      </w:r>
      <w:r w:rsidRPr="0059085B">
        <w:rPr>
          <w:rFonts w:ascii="Times New Roman" w:eastAsia="Noto Sans CJK SC" w:hAnsi="Times New Roman" w:cs="Times New Roman"/>
          <w:color w:val="000000"/>
          <w:sz w:val="24"/>
          <w:szCs w:val="24"/>
        </w:rPr>
        <w:t>т</w:t>
      </w:r>
      <w:r w:rsidRPr="0059085B">
        <w:rPr>
          <w:rFonts w:ascii="Times New Roman" w:eastAsia="Noto Sans CJK SC" w:hAnsi="Times New Roman" w:cs="Times New Roman"/>
          <w:color w:val="000000"/>
          <w:sz w:val="24"/>
          <w:szCs w:val="24"/>
        </w:rPr>
        <w:t>ветственно, в плановом периоде 2025 года предусмотрены  в сумме 47 600,00 рублей со снижением к уровню 2024 года на 26,77% и в 2026 году 78 500,00 рублей с ростом к уро</w:t>
      </w:r>
      <w:r w:rsidRPr="0059085B">
        <w:rPr>
          <w:rFonts w:ascii="Times New Roman" w:eastAsia="Noto Sans CJK SC" w:hAnsi="Times New Roman" w:cs="Times New Roman"/>
          <w:color w:val="000000"/>
          <w:sz w:val="24"/>
          <w:szCs w:val="24"/>
        </w:rPr>
        <w:t>в</w:t>
      </w:r>
      <w:r w:rsidRPr="0059085B">
        <w:rPr>
          <w:rFonts w:ascii="Times New Roman" w:eastAsia="Noto Sans CJK SC" w:hAnsi="Times New Roman" w:cs="Times New Roman"/>
          <w:color w:val="000000"/>
          <w:sz w:val="24"/>
          <w:szCs w:val="24"/>
        </w:rPr>
        <w:t xml:space="preserve">ню 2025 года на 64,92%. Средства предусмотрены по подразделу </w:t>
      </w:r>
      <w:r w:rsidRPr="00F23713">
        <w:rPr>
          <w:rFonts w:ascii="Times New Roman" w:eastAsia="Noto Sans CJK SC" w:hAnsi="Times New Roman" w:cs="Times New Roman"/>
          <w:i/>
          <w:color w:val="000000"/>
          <w:sz w:val="24"/>
          <w:szCs w:val="24"/>
        </w:rPr>
        <w:t>«Массовый спорт»</w:t>
      </w:r>
      <w:r w:rsidRPr="0059085B">
        <w:rPr>
          <w:rFonts w:ascii="Times New Roman" w:eastAsia="Noto Sans CJK SC" w:hAnsi="Times New Roman" w:cs="Times New Roman"/>
          <w:color w:val="000000"/>
          <w:sz w:val="24"/>
          <w:szCs w:val="24"/>
        </w:rPr>
        <w:t xml:space="preserve"> в рамках подпрограммы «Развитие молодежной политики, культуры, физической культуры и спорта на территории Вольновского сельского поселения Полтавского муниципального района Омской области» для физкультурно-оздоровительной работы и спортивных мер</w:t>
      </w:r>
      <w:r w:rsidRPr="0059085B">
        <w:rPr>
          <w:rFonts w:ascii="Times New Roman" w:eastAsia="Noto Sans CJK SC" w:hAnsi="Times New Roman" w:cs="Times New Roman"/>
          <w:color w:val="000000"/>
          <w:sz w:val="24"/>
          <w:szCs w:val="24"/>
        </w:rPr>
        <w:t>о</w:t>
      </w:r>
      <w:r w:rsidRPr="0059085B">
        <w:rPr>
          <w:rFonts w:ascii="Times New Roman" w:eastAsia="Noto Sans CJK SC" w:hAnsi="Times New Roman" w:cs="Times New Roman"/>
          <w:color w:val="000000"/>
          <w:sz w:val="24"/>
          <w:szCs w:val="24"/>
        </w:rPr>
        <w:t>приятий.</w:t>
      </w:r>
    </w:p>
    <w:p w:rsidR="0059085B" w:rsidRDefault="0059085B" w:rsidP="0059085B">
      <w:pPr>
        <w:suppressAutoHyphens w:val="0"/>
        <w:autoSpaceDE w:val="0"/>
        <w:autoSpaceDN w:val="0"/>
        <w:adjustRightInd w:val="0"/>
        <w:spacing w:after="0" w:line="240" w:lineRule="auto"/>
        <w:rPr>
          <w:rFonts w:ascii="Times New Roman" w:eastAsia="Noto Sans CJK SC" w:hAnsi="Times New Roman" w:cs="Times New Roman"/>
          <w:color w:val="000000"/>
        </w:rPr>
      </w:pPr>
      <w:r>
        <w:rPr>
          <w:rFonts w:ascii="Times New Roman" w:eastAsia="Noto Sans CJK SC" w:hAnsi="Times New Roman" w:cs="Times New Roman"/>
          <w:color w:val="000000"/>
        </w:rPr>
        <w:t xml:space="preserve"> </w:t>
      </w:r>
    </w:p>
    <w:p w:rsidR="00D77600" w:rsidRDefault="009D4E5A">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Проектом решения бюджета Вольновского сельского поселения Полтавско</w:t>
      </w:r>
      <w:r w:rsidR="0059085B">
        <w:rPr>
          <w:rFonts w:ascii="Times New Roman" w:hAnsi="Times New Roman" w:cs="Times New Roman"/>
          <w:sz w:val="24"/>
          <w:szCs w:val="24"/>
        </w:rPr>
        <w:t>го муниципального района на 2024</w:t>
      </w:r>
      <w:r>
        <w:rPr>
          <w:rFonts w:ascii="Times New Roman" w:hAnsi="Times New Roman" w:cs="Times New Roman"/>
          <w:sz w:val="24"/>
          <w:szCs w:val="24"/>
        </w:rPr>
        <w:t xml:space="preserve"> год и плановый период 202</w:t>
      </w:r>
      <w:r w:rsidR="0059085B">
        <w:rPr>
          <w:rFonts w:ascii="Times New Roman" w:hAnsi="Times New Roman" w:cs="Times New Roman"/>
          <w:sz w:val="24"/>
          <w:szCs w:val="24"/>
        </w:rPr>
        <w:t>5</w:t>
      </w:r>
      <w:r>
        <w:rPr>
          <w:rFonts w:ascii="Times New Roman" w:hAnsi="Times New Roman" w:cs="Times New Roman"/>
          <w:sz w:val="24"/>
          <w:szCs w:val="24"/>
        </w:rPr>
        <w:t xml:space="preserve"> и 202</w:t>
      </w:r>
      <w:r w:rsidR="0059085B">
        <w:rPr>
          <w:rFonts w:ascii="Times New Roman" w:hAnsi="Times New Roman" w:cs="Times New Roman"/>
          <w:sz w:val="24"/>
          <w:szCs w:val="24"/>
        </w:rPr>
        <w:t>6</w:t>
      </w:r>
      <w:r>
        <w:rPr>
          <w:rFonts w:ascii="Times New Roman" w:hAnsi="Times New Roman" w:cs="Times New Roman"/>
          <w:sz w:val="24"/>
          <w:szCs w:val="24"/>
        </w:rPr>
        <w:t xml:space="preserve"> годов предусмотрена реализация двух муниципальных программ.</w:t>
      </w:r>
      <w:r>
        <w:rPr>
          <w:rFonts w:ascii="Times New Roman" w:eastAsia="Calibri" w:hAnsi="Times New Roman" w:cs="Times New Roman"/>
          <w:sz w:val="24"/>
          <w:szCs w:val="24"/>
        </w:rPr>
        <w:t xml:space="preserve"> Финансовое обеспечение предусмотренное проектами паспортов муниципальных программ на 202</w:t>
      </w:r>
      <w:r w:rsidR="0059085B">
        <w:rPr>
          <w:rFonts w:ascii="Times New Roman" w:eastAsia="Calibri" w:hAnsi="Times New Roman" w:cs="Times New Roman"/>
          <w:sz w:val="24"/>
          <w:szCs w:val="24"/>
        </w:rPr>
        <w:t>4</w:t>
      </w:r>
      <w:r>
        <w:rPr>
          <w:rFonts w:ascii="Times New Roman" w:eastAsia="Calibri" w:hAnsi="Times New Roman" w:cs="Times New Roman"/>
          <w:sz w:val="24"/>
          <w:szCs w:val="24"/>
        </w:rPr>
        <w:t>-202</w:t>
      </w:r>
      <w:r w:rsidR="0059085B">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годы соответствует объемам запланированным проектом бюджета.</w:t>
      </w:r>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целью муниципальных программ является улучшение качества жизни населения.</w:t>
      </w:r>
    </w:p>
    <w:p w:rsidR="00F23713" w:rsidRDefault="00F23713">
      <w:pPr>
        <w:spacing w:after="0" w:line="240" w:lineRule="auto"/>
        <w:ind w:firstLine="709"/>
        <w:jc w:val="both"/>
        <w:rPr>
          <w:rFonts w:ascii="Times New Roman" w:hAnsi="Times New Roman" w:cs="Times New Roman"/>
          <w:sz w:val="24"/>
          <w:szCs w:val="24"/>
        </w:rPr>
      </w:pPr>
    </w:p>
    <w:p w:rsidR="00F23713" w:rsidRPr="00F23713" w:rsidRDefault="00F23713" w:rsidP="00F23713">
      <w:pPr>
        <w:pStyle w:val="1"/>
        <w:rPr>
          <w:sz w:val="24"/>
          <w:szCs w:val="24"/>
        </w:rPr>
      </w:pPr>
      <w:r>
        <w:rPr>
          <w:sz w:val="24"/>
          <w:szCs w:val="24"/>
        </w:rPr>
        <w:t xml:space="preserve">3.3 </w:t>
      </w:r>
      <w:r w:rsidRPr="00F23713">
        <w:rPr>
          <w:sz w:val="24"/>
          <w:szCs w:val="24"/>
        </w:rPr>
        <w:t>Источники финансирования дефицита бюджета поселения в 2024 году и план</w:t>
      </w:r>
      <w:r w:rsidRPr="00F23713">
        <w:rPr>
          <w:sz w:val="24"/>
          <w:szCs w:val="24"/>
        </w:rPr>
        <w:t>о</w:t>
      </w:r>
      <w:r w:rsidRPr="00F23713">
        <w:rPr>
          <w:sz w:val="24"/>
          <w:szCs w:val="24"/>
        </w:rPr>
        <w:t xml:space="preserve">вом периоде 2025-2026 годов  </w:t>
      </w:r>
    </w:p>
    <w:p w:rsidR="00D77600" w:rsidRDefault="009D4E5A">
      <w:pPr>
        <w:pStyle w:val="ConsNonformat"/>
        <w:ind w:firstLine="709"/>
        <w:jc w:val="both"/>
        <w:rPr>
          <w:rFonts w:ascii="Times New Roman" w:hAnsi="Times New Roman"/>
          <w:sz w:val="24"/>
          <w:szCs w:val="24"/>
        </w:rPr>
      </w:pPr>
      <w:r>
        <w:rPr>
          <w:rFonts w:ascii="Times New Roman" w:hAnsi="Times New Roman"/>
          <w:sz w:val="24"/>
          <w:szCs w:val="24"/>
        </w:rPr>
        <w:t>Одним из основных направлений долговой политики Вольновского сельского поселения является недопущение муниципального долга.  По состоянию на 01.10.202</w:t>
      </w:r>
      <w:r w:rsidR="00F23713">
        <w:rPr>
          <w:rFonts w:ascii="Times New Roman" w:hAnsi="Times New Roman"/>
          <w:sz w:val="24"/>
          <w:szCs w:val="24"/>
        </w:rPr>
        <w:t>3</w:t>
      </w:r>
      <w:r>
        <w:rPr>
          <w:rFonts w:ascii="Times New Roman" w:hAnsi="Times New Roman"/>
          <w:sz w:val="24"/>
          <w:szCs w:val="24"/>
        </w:rPr>
        <w:t xml:space="preserve"> года муниципальный долг в поселении отсутствует</w:t>
      </w:r>
      <w:r w:rsidR="00F23713">
        <w:rPr>
          <w:rFonts w:ascii="Times New Roman" w:hAnsi="Times New Roman"/>
          <w:sz w:val="24"/>
          <w:szCs w:val="24"/>
        </w:rPr>
        <w:t>.</w:t>
      </w:r>
      <w:r w:rsidR="00ED748B">
        <w:rPr>
          <w:rFonts w:ascii="Times New Roman" w:hAnsi="Times New Roman"/>
          <w:sz w:val="24"/>
          <w:szCs w:val="24"/>
        </w:rPr>
        <w:t xml:space="preserve"> Бюджет на 2024 год и плановый период 2025 и 2026 годов предусмотрен сбалансированный.</w:t>
      </w:r>
    </w:p>
    <w:p w:rsidR="00D77600" w:rsidRDefault="00D77600">
      <w:pPr>
        <w:spacing w:after="0" w:line="240" w:lineRule="auto"/>
        <w:ind w:firstLine="709"/>
        <w:jc w:val="both"/>
        <w:rPr>
          <w:rFonts w:ascii="Times New Roman" w:hAnsi="Times New Roman" w:cs="Times New Roman"/>
          <w:sz w:val="24"/>
          <w:szCs w:val="24"/>
        </w:rPr>
      </w:pPr>
    </w:p>
    <w:p w:rsidR="00D77600" w:rsidRDefault="009D4E5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Заключительная часть</w:t>
      </w:r>
    </w:p>
    <w:p w:rsidR="00D77600" w:rsidRDefault="009D4E5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1.Проект бюджета Вольновского сельского поселения Полтавского муниципального района на 202</w:t>
      </w:r>
      <w:r w:rsidR="00ED748B">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ED748B">
        <w:rPr>
          <w:rFonts w:ascii="Times New Roman" w:hAnsi="Times New Roman" w:cs="Times New Roman"/>
          <w:sz w:val="24"/>
          <w:szCs w:val="24"/>
        </w:rPr>
        <w:t>5</w:t>
      </w:r>
      <w:r>
        <w:rPr>
          <w:rFonts w:ascii="Times New Roman" w:hAnsi="Times New Roman" w:cs="Times New Roman"/>
          <w:sz w:val="24"/>
          <w:szCs w:val="24"/>
        </w:rPr>
        <w:t xml:space="preserve"> и 202</w:t>
      </w:r>
      <w:r w:rsidR="00ED748B">
        <w:rPr>
          <w:rFonts w:ascii="Times New Roman" w:hAnsi="Times New Roman" w:cs="Times New Roman"/>
          <w:sz w:val="24"/>
          <w:szCs w:val="24"/>
        </w:rPr>
        <w:t>6</w:t>
      </w:r>
      <w:r>
        <w:rPr>
          <w:rFonts w:ascii="Times New Roman" w:hAnsi="Times New Roman" w:cs="Times New Roman"/>
          <w:sz w:val="24"/>
          <w:szCs w:val="24"/>
        </w:rPr>
        <w:t xml:space="preserve"> годов внесен распоряжением администрации  Вольновского сельского поселения Полтавского муниципального района на рассмотрение в представительный орган своевременно.</w:t>
      </w:r>
    </w:p>
    <w:p w:rsidR="00D77600" w:rsidRDefault="009D4E5A" w:rsidP="007A7BFE">
      <w:pPr>
        <w:tabs>
          <w:tab w:val="left" w:pos="567"/>
        </w:tabs>
        <w:spacing w:after="0" w:line="240" w:lineRule="auto"/>
        <w:ind w:firstLine="709"/>
        <w:jc w:val="both"/>
      </w:pPr>
      <w:r>
        <w:rPr>
          <w:rFonts w:ascii="Times New Roman" w:hAnsi="Times New Roman" w:cs="Times New Roman"/>
          <w:sz w:val="24"/>
          <w:szCs w:val="24"/>
        </w:rPr>
        <w:t>2.Представленный проект  бюджета соответствует требованиям статьям 184.1 и 184.2 Бюджетного Кодекса Российской Федерации в части полноты самого проекта решения, а также документов и материалов, предоставляемых в Совет одновременно с ними</w:t>
      </w:r>
      <w:r w:rsidR="007A7BFE">
        <w:rPr>
          <w:rFonts w:ascii="Times New Roman" w:hAnsi="Times New Roman" w:cs="Times New Roman"/>
          <w:sz w:val="24"/>
          <w:szCs w:val="24"/>
        </w:rPr>
        <w:t>.</w:t>
      </w:r>
    </w:p>
    <w:p w:rsidR="00D77600" w:rsidRDefault="009D4E5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3.В соответствии с положениями  статьи 172 Бюджетного кодекса РФ проект бюджета основан на основных направлениях бюджетной и налоговой политики муниципального образования, прогнозе социально-экономического развития  территории, бюджетном прогнозе муниципального образования на долгосрочный период.</w:t>
      </w:r>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4.Прогноз социально-экономического развития поселения на 202</w:t>
      </w:r>
      <w:r w:rsidR="007A7BFE">
        <w:rPr>
          <w:rFonts w:ascii="Times New Roman" w:hAnsi="Times New Roman" w:cs="Times New Roman"/>
          <w:sz w:val="24"/>
          <w:szCs w:val="24"/>
        </w:rPr>
        <w:t>4 и плановый период 2025</w:t>
      </w:r>
      <w:r>
        <w:rPr>
          <w:rFonts w:ascii="Times New Roman" w:hAnsi="Times New Roman" w:cs="Times New Roman"/>
          <w:sz w:val="24"/>
          <w:szCs w:val="24"/>
        </w:rPr>
        <w:t xml:space="preserve"> и 202</w:t>
      </w:r>
      <w:r w:rsidR="007A7BFE">
        <w:rPr>
          <w:rFonts w:ascii="Times New Roman" w:hAnsi="Times New Roman" w:cs="Times New Roman"/>
          <w:sz w:val="24"/>
          <w:szCs w:val="24"/>
        </w:rPr>
        <w:t>6</w:t>
      </w:r>
      <w:r>
        <w:rPr>
          <w:rFonts w:ascii="Times New Roman" w:hAnsi="Times New Roman" w:cs="Times New Roman"/>
          <w:sz w:val="24"/>
          <w:szCs w:val="24"/>
        </w:rPr>
        <w:t xml:space="preserve"> годов  одобрен в соответствии с бюджетным законодательством.</w:t>
      </w:r>
    </w:p>
    <w:p w:rsidR="00D77600" w:rsidRDefault="009D4E5A">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5.Основные характеристики бюджета (общий объем доходов, общий объем расходов, дефицит (профицит) бюджета) спрогнозированы  в соответствии со ст.184.1 Бюджетного кодекса </w:t>
      </w:r>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6.При формировании проекта бюджета соблюдены ограничения, установленные Бюджетным кодексом Российской Федерации, а именно:  по размеру дефицита бюджета, объему муниципального долга и расходам на его обслуживание, предельному объему заимствований, общему объему условно утверждаемых расходов.</w:t>
      </w:r>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 По своей структуре и содержанию проект  решения сформирован в соответствии с требованиями  пункта 3 статьи 184.1 Бюджетного кодекса РФ.</w:t>
      </w:r>
    </w:p>
    <w:p w:rsidR="00D77600" w:rsidRDefault="009D4E5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Результаты рассмотрения проекта решения в части прогнозируемых доходов на 202</w:t>
      </w:r>
      <w:r w:rsidR="007A7BFE">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7A7BFE">
        <w:rPr>
          <w:rFonts w:ascii="Times New Roman" w:hAnsi="Times New Roman" w:cs="Times New Roman"/>
          <w:sz w:val="24"/>
          <w:szCs w:val="24"/>
        </w:rPr>
        <w:t>5</w:t>
      </w:r>
      <w:r>
        <w:rPr>
          <w:rFonts w:ascii="Times New Roman" w:hAnsi="Times New Roman" w:cs="Times New Roman"/>
          <w:sz w:val="24"/>
          <w:szCs w:val="24"/>
        </w:rPr>
        <w:t xml:space="preserve"> и 202</w:t>
      </w:r>
      <w:r w:rsidR="007A7BFE">
        <w:rPr>
          <w:rFonts w:ascii="Times New Roman" w:hAnsi="Times New Roman" w:cs="Times New Roman"/>
          <w:sz w:val="24"/>
          <w:szCs w:val="24"/>
        </w:rPr>
        <w:t>6</w:t>
      </w:r>
      <w:r>
        <w:rPr>
          <w:rFonts w:ascii="Times New Roman" w:hAnsi="Times New Roman" w:cs="Times New Roman"/>
          <w:sz w:val="24"/>
          <w:szCs w:val="24"/>
        </w:rPr>
        <w:t xml:space="preserve"> годов свидетельствует о соблюдении требований бюджетного законодательства, предъявляемых к формированию бюджета (ст.174.1 БК РФ). Предусмотренные проектом решения виды налоговых и неналоговых доходов местного бюджета соответствуют перечню, установленному БК РФ. </w:t>
      </w:r>
    </w:p>
    <w:p w:rsidR="00D77600" w:rsidRDefault="009D4E5A">
      <w:pPr>
        <w:widowControl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9. Расходная часть бюджета сформирована в соответствии с законодательно обусловленными расходными обязательствами, исполнение которых должно производиться в очередном финансовом году и плановом периоде за счет бюджетных средств.</w:t>
      </w:r>
      <w:r w:rsidR="007A7BFE">
        <w:rPr>
          <w:rFonts w:ascii="Times New Roman" w:hAnsi="Times New Roman" w:cs="Times New Roman"/>
          <w:sz w:val="24"/>
          <w:szCs w:val="24"/>
        </w:rPr>
        <w:t xml:space="preserve"> </w:t>
      </w:r>
      <w:r>
        <w:rPr>
          <w:rFonts w:ascii="Times New Roman" w:hAnsi="Times New Roman" w:cs="Times New Roman"/>
          <w:bCs/>
          <w:sz w:val="24"/>
          <w:szCs w:val="24"/>
        </w:rPr>
        <w:t>Расчет планируемых ассигнований  учитывает уровень инфляции текущего года и прогнозируемого на 202</w:t>
      </w:r>
      <w:r w:rsidR="007A7BFE">
        <w:rPr>
          <w:rFonts w:ascii="Times New Roman" w:hAnsi="Times New Roman" w:cs="Times New Roman"/>
          <w:bCs/>
          <w:sz w:val="24"/>
          <w:szCs w:val="24"/>
        </w:rPr>
        <w:t>4</w:t>
      </w:r>
      <w:r>
        <w:rPr>
          <w:rFonts w:ascii="Times New Roman" w:hAnsi="Times New Roman" w:cs="Times New Roman"/>
          <w:bCs/>
          <w:sz w:val="24"/>
          <w:szCs w:val="24"/>
        </w:rPr>
        <w:t xml:space="preserve"> год, планируемую индексацию социальных выплат.</w:t>
      </w:r>
    </w:p>
    <w:p w:rsidR="00D77600" w:rsidRDefault="009D4E5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на исполнение муниципальных программ на 202</w:t>
      </w:r>
      <w:r w:rsidR="007A7BFE">
        <w:rPr>
          <w:rFonts w:ascii="Times New Roman" w:hAnsi="Times New Roman" w:cs="Times New Roman"/>
          <w:sz w:val="24"/>
          <w:szCs w:val="24"/>
        </w:rPr>
        <w:t>4 год и на плановый период 2025</w:t>
      </w:r>
      <w:r>
        <w:rPr>
          <w:rFonts w:ascii="Times New Roman" w:hAnsi="Times New Roman" w:cs="Times New Roman"/>
          <w:sz w:val="24"/>
          <w:szCs w:val="24"/>
        </w:rPr>
        <w:t xml:space="preserve"> и 202</w:t>
      </w:r>
      <w:r w:rsidR="007A7BFE">
        <w:rPr>
          <w:rFonts w:ascii="Times New Roman" w:hAnsi="Times New Roman" w:cs="Times New Roman"/>
          <w:sz w:val="24"/>
          <w:szCs w:val="24"/>
        </w:rPr>
        <w:t>6</w:t>
      </w:r>
      <w:r>
        <w:rPr>
          <w:rFonts w:ascii="Times New Roman" w:hAnsi="Times New Roman" w:cs="Times New Roman"/>
          <w:sz w:val="24"/>
          <w:szCs w:val="24"/>
        </w:rPr>
        <w:t xml:space="preserve"> годов предлагаются к утверждению на основании проектов паспортов муниципальных программ в полном объеме. </w:t>
      </w:r>
    </w:p>
    <w:p w:rsidR="00D77600" w:rsidRDefault="009D4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На основании изложенного, </w:t>
      </w:r>
      <w:r w:rsidR="007A7BFE">
        <w:rPr>
          <w:rFonts w:ascii="Times New Roman" w:hAnsi="Times New Roman" w:cs="Times New Roman"/>
          <w:sz w:val="24"/>
          <w:szCs w:val="24"/>
        </w:rPr>
        <w:t>К</w:t>
      </w:r>
      <w:r>
        <w:rPr>
          <w:rFonts w:ascii="Times New Roman" w:hAnsi="Times New Roman" w:cs="Times New Roman"/>
          <w:sz w:val="24"/>
          <w:szCs w:val="24"/>
        </w:rPr>
        <w:t>онтрольно-счетный орган считает, что  проект бюджета Вольновского сельского поселения Полтавского муниципального района  на  202</w:t>
      </w:r>
      <w:r w:rsidR="007A7BFE">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202</w:t>
      </w:r>
      <w:r w:rsidR="007A7BFE">
        <w:rPr>
          <w:rFonts w:ascii="Times New Roman" w:hAnsi="Times New Roman" w:cs="Times New Roman"/>
          <w:sz w:val="24"/>
          <w:szCs w:val="24"/>
        </w:rPr>
        <w:t>5</w:t>
      </w:r>
      <w:r>
        <w:rPr>
          <w:rFonts w:ascii="Times New Roman" w:hAnsi="Times New Roman" w:cs="Times New Roman"/>
          <w:sz w:val="24"/>
          <w:szCs w:val="24"/>
        </w:rPr>
        <w:t xml:space="preserve"> и 202</w:t>
      </w:r>
      <w:r w:rsidR="007A7BFE">
        <w:rPr>
          <w:rFonts w:ascii="Times New Roman" w:hAnsi="Times New Roman" w:cs="Times New Roman"/>
          <w:sz w:val="24"/>
          <w:szCs w:val="24"/>
        </w:rPr>
        <w:t>6</w:t>
      </w:r>
      <w:r>
        <w:rPr>
          <w:rFonts w:ascii="Times New Roman" w:hAnsi="Times New Roman" w:cs="Times New Roman"/>
          <w:sz w:val="24"/>
          <w:szCs w:val="24"/>
        </w:rPr>
        <w:t xml:space="preserve"> годов в основном  соответствует  нормам бюджетного законодательства и может быть  рекомендован к принятию в первом чтении.</w:t>
      </w:r>
    </w:p>
    <w:p w:rsidR="00D77600" w:rsidRDefault="00D77600">
      <w:pPr>
        <w:spacing w:after="0" w:line="240" w:lineRule="auto"/>
        <w:ind w:firstLine="709"/>
        <w:jc w:val="both"/>
        <w:rPr>
          <w:rFonts w:ascii="Times New Roman" w:hAnsi="Times New Roman" w:cs="Times New Roman"/>
          <w:sz w:val="24"/>
          <w:szCs w:val="24"/>
        </w:rPr>
      </w:pPr>
    </w:p>
    <w:p w:rsidR="00D77600" w:rsidRDefault="00D77600">
      <w:pPr>
        <w:spacing w:after="0" w:line="240" w:lineRule="auto"/>
        <w:ind w:firstLine="709"/>
        <w:jc w:val="both"/>
        <w:rPr>
          <w:rFonts w:ascii="Times New Roman" w:hAnsi="Times New Roman" w:cs="Times New Roman"/>
          <w:sz w:val="24"/>
          <w:szCs w:val="24"/>
        </w:rPr>
      </w:pPr>
    </w:p>
    <w:p w:rsidR="00D77600" w:rsidRDefault="00D77600">
      <w:pPr>
        <w:spacing w:after="0" w:line="240" w:lineRule="auto"/>
        <w:ind w:firstLine="709"/>
        <w:jc w:val="both"/>
        <w:rPr>
          <w:rFonts w:ascii="Times New Roman" w:hAnsi="Times New Roman" w:cs="Times New Roman"/>
          <w:color w:val="FF0000"/>
          <w:sz w:val="24"/>
          <w:szCs w:val="24"/>
        </w:rPr>
      </w:pPr>
    </w:p>
    <w:p w:rsidR="00D77600" w:rsidRDefault="00D77600">
      <w:pPr>
        <w:shd w:val="clear" w:color="auto" w:fill="FFFFFF"/>
        <w:spacing w:after="0" w:line="240" w:lineRule="auto"/>
        <w:ind w:firstLine="709"/>
        <w:jc w:val="both"/>
        <w:textAlignment w:val="baseline"/>
        <w:rPr>
          <w:lang w:eastAsia="ru-RU"/>
        </w:rPr>
      </w:pPr>
    </w:p>
    <w:p w:rsidR="00D77600" w:rsidRDefault="009D4E5A">
      <w:pPr>
        <w:tabs>
          <w:tab w:val="center" w:pos="4677"/>
        </w:tabs>
        <w:spacing w:after="0" w:line="240" w:lineRule="auto"/>
      </w:pPr>
      <w:r>
        <w:rPr>
          <w:rFonts w:ascii="Times New Roman" w:hAnsi="Times New Roman" w:cs="Times New Roman"/>
          <w:sz w:val="24"/>
          <w:szCs w:val="24"/>
        </w:rPr>
        <w:t xml:space="preserve">Председатель                                                                           </w:t>
      </w:r>
      <w:r w:rsidR="007A7BFE">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Е. В. Галаган                        </w:t>
      </w:r>
    </w:p>
    <w:sectPr w:rsidR="00D77600" w:rsidSect="00D77600">
      <w:headerReference w:type="default" r:id="rId8"/>
      <w:pgSz w:w="11906" w:h="16838"/>
      <w:pgMar w:top="1134" w:right="850" w:bottom="1134" w:left="1701" w:header="708" w:footer="0" w:gutter="0"/>
      <w:cols w:space="720"/>
      <w:formProt w:val="0"/>
      <w:docGrid w:linePitch="36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431" w:rsidRDefault="00464431" w:rsidP="00D77600">
      <w:pPr>
        <w:spacing w:after="0" w:line="240" w:lineRule="auto"/>
      </w:pPr>
      <w:r>
        <w:separator/>
      </w:r>
    </w:p>
  </w:endnote>
  <w:endnote w:type="continuationSeparator" w:id="1">
    <w:p w:rsidR="00464431" w:rsidRDefault="00464431" w:rsidP="00D77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800022EF" w:usb1="C000205A" w:usb2="00000008" w:usb3="00000000" w:csb0="00000057" w:csb1="00000000"/>
  </w:font>
  <w:font w:name="Liberation Sans">
    <w:panose1 w:val="020B0604020202020204"/>
    <w:charset w:val="CC"/>
    <w:family w:val="swiss"/>
    <w:pitch w:val="variable"/>
    <w:sig w:usb0="E0000AFF" w:usb1="500078FF" w:usb2="00000021" w:usb3="00000000" w:csb0="000001BF" w:csb1="00000000"/>
  </w:font>
  <w:font w:name="Noto Sans CJK SC">
    <w:panose1 w:val="00000000000000000000"/>
    <w:charset w:val="80"/>
    <w:family w:val="swiss"/>
    <w:notTrueType/>
    <w:pitch w:val="variable"/>
    <w:sig w:usb0="30000287" w:usb1="2BDF3C10" w:usb2="00000016" w:usb3="00000000" w:csb0="002E0107" w:csb1="00000000"/>
  </w:font>
  <w:font w:name="Lohit Devanagari">
    <w:panose1 w:val="020B0600000000000000"/>
    <w:charset w:val="00"/>
    <w:family w:val="swiss"/>
    <w:pitch w:val="variable"/>
    <w:sig w:usb0="80008023" w:usb1="00002042" w:usb2="00000000" w:usb3="00000000" w:csb0="00000001"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431" w:rsidRDefault="00464431" w:rsidP="00D77600">
      <w:pPr>
        <w:spacing w:after="0" w:line="240" w:lineRule="auto"/>
      </w:pPr>
      <w:r>
        <w:separator/>
      </w:r>
    </w:p>
  </w:footnote>
  <w:footnote w:type="continuationSeparator" w:id="1">
    <w:p w:rsidR="00464431" w:rsidRDefault="00464431" w:rsidP="00D77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C0B" w:rsidRDefault="004A5C0B">
    <w:pPr>
      <w:pStyle w:val="Header"/>
      <w:jc w:val="center"/>
    </w:pPr>
    <w:fldSimple w:instr="PAGE">
      <w:r w:rsidR="009A7801">
        <w:rPr>
          <w:noProof/>
        </w:rPr>
        <w:t>12</w:t>
      </w:r>
    </w:fldSimple>
  </w:p>
  <w:p w:rsidR="004A5C0B" w:rsidRDefault="004A5C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autoHyphenation/>
  <w:characterSpacingControl w:val="doNotCompress"/>
  <w:footnotePr>
    <w:footnote w:id="0"/>
    <w:footnote w:id="1"/>
  </w:footnotePr>
  <w:endnotePr>
    <w:endnote w:id="0"/>
    <w:endnote w:id="1"/>
  </w:endnotePr>
  <w:compat/>
  <w:rsids>
    <w:rsidRoot w:val="00D77600"/>
    <w:rsid w:val="000269CB"/>
    <w:rsid w:val="000353BA"/>
    <w:rsid w:val="000763F7"/>
    <w:rsid w:val="000900D8"/>
    <w:rsid w:val="000F583B"/>
    <w:rsid w:val="0010168E"/>
    <w:rsid w:val="0011590E"/>
    <w:rsid w:val="002663F1"/>
    <w:rsid w:val="002670F4"/>
    <w:rsid w:val="002A52E3"/>
    <w:rsid w:val="003A5A5A"/>
    <w:rsid w:val="00405222"/>
    <w:rsid w:val="004417F0"/>
    <w:rsid w:val="00464431"/>
    <w:rsid w:val="0047221D"/>
    <w:rsid w:val="00490495"/>
    <w:rsid w:val="004A5C0B"/>
    <w:rsid w:val="00515255"/>
    <w:rsid w:val="00522AFC"/>
    <w:rsid w:val="0059085B"/>
    <w:rsid w:val="00592FA8"/>
    <w:rsid w:val="00593E84"/>
    <w:rsid w:val="005D186C"/>
    <w:rsid w:val="00603648"/>
    <w:rsid w:val="00625741"/>
    <w:rsid w:val="0063740A"/>
    <w:rsid w:val="006717EA"/>
    <w:rsid w:val="006873D8"/>
    <w:rsid w:val="007378EA"/>
    <w:rsid w:val="00782335"/>
    <w:rsid w:val="00793317"/>
    <w:rsid w:val="007A7BFE"/>
    <w:rsid w:val="007F0238"/>
    <w:rsid w:val="007F275B"/>
    <w:rsid w:val="00813005"/>
    <w:rsid w:val="00843AE0"/>
    <w:rsid w:val="008C5EEA"/>
    <w:rsid w:val="009636A9"/>
    <w:rsid w:val="009A0C6F"/>
    <w:rsid w:val="009A7801"/>
    <w:rsid w:val="009D4E5A"/>
    <w:rsid w:val="00A40357"/>
    <w:rsid w:val="00A6342D"/>
    <w:rsid w:val="00A6346F"/>
    <w:rsid w:val="00AC61E1"/>
    <w:rsid w:val="00B867B3"/>
    <w:rsid w:val="00BF6DCE"/>
    <w:rsid w:val="00C07C54"/>
    <w:rsid w:val="00C16424"/>
    <w:rsid w:val="00CE60D8"/>
    <w:rsid w:val="00D247E8"/>
    <w:rsid w:val="00D737C0"/>
    <w:rsid w:val="00D77600"/>
    <w:rsid w:val="00DD412F"/>
    <w:rsid w:val="00E036E4"/>
    <w:rsid w:val="00E12125"/>
    <w:rsid w:val="00E26823"/>
    <w:rsid w:val="00E8090E"/>
    <w:rsid w:val="00E8207F"/>
    <w:rsid w:val="00ED748B"/>
    <w:rsid w:val="00F23713"/>
    <w:rsid w:val="00F24F83"/>
    <w:rsid w:val="00F5473F"/>
    <w:rsid w:val="00FC6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C5"/>
    <w:pPr>
      <w:spacing w:after="200" w:line="276" w:lineRule="auto"/>
    </w:pPr>
  </w:style>
  <w:style w:type="paragraph" w:styleId="1">
    <w:name w:val="heading 1"/>
    <w:basedOn w:val="a"/>
    <w:next w:val="a"/>
    <w:link w:val="11"/>
    <w:qFormat/>
    <w:rsid w:val="00F23713"/>
    <w:pPr>
      <w:keepNext/>
      <w:suppressAutoHyphens w:val="0"/>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AE7E80"/>
    <w:pPr>
      <w:keepNext/>
      <w:spacing w:after="0" w:line="240" w:lineRule="auto"/>
      <w:jc w:val="center"/>
      <w:outlineLvl w:val="0"/>
    </w:pPr>
    <w:rPr>
      <w:rFonts w:ascii="Times New Roman" w:eastAsia="Times New Roman" w:hAnsi="Times New Roman" w:cs="Times New Roman"/>
      <w:b/>
      <w:sz w:val="28"/>
      <w:szCs w:val="20"/>
      <w:lang w:eastAsia="ru-RU"/>
    </w:rPr>
  </w:style>
  <w:style w:type="character" w:customStyle="1" w:styleId="a3">
    <w:name w:val="Нижний колонтитул Знак"/>
    <w:basedOn w:val="a0"/>
    <w:uiPriority w:val="99"/>
    <w:qFormat/>
    <w:rsid w:val="00E33EC5"/>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qFormat/>
    <w:rsid w:val="00E33EC5"/>
    <w:rPr>
      <w:rFonts w:ascii="Times New Roman" w:eastAsia="Times New Roman" w:hAnsi="Times New Roman" w:cs="Times New Roman"/>
      <w:sz w:val="24"/>
      <w:szCs w:val="24"/>
      <w:lang w:eastAsia="ru-RU"/>
    </w:rPr>
  </w:style>
  <w:style w:type="character" w:customStyle="1" w:styleId="a5">
    <w:name w:val="Текст выноски Знак"/>
    <w:basedOn w:val="a0"/>
    <w:uiPriority w:val="99"/>
    <w:semiHidden/>
    <w:qFormat/>
    <w:rsid w:val="00E33EC5"/>
    <w:rPr>
      <w:rFonts w:ascii="Tahoma" w:hAnsi="Tahoma" w:cs="Tahoma"/>
      <w:sz w:val="16"/>
      <w:szCs w:val="16"/>
    </w:rPr>
  </w:style>
  <w:style w:type="character" w:customStyle="1" w:styleId="a6">
    <w:name w:val="Основной текст с отступом Знак"/>
    <w:basedOn w:val="a0"/>
    <w:qFormat/>
    <w:rsid w:val="003B6DE5"/>
    <w:rPr>
      <w:rFonts w:ascii="Times New Roman" w:eastAsia="Times New Roman" w:hAnsi="Times New Roman" w:cs="Times New Roman"/>
      <w:sz w:val="24"/>
      <w:szCs w:val="24"/>
      <w:lang w:eastAsia="ru-RU"/>
    </w:rPr>
  </w:style>
  <w:style w:type="character" w:customStyle="1" w:styleId="FontStyle34">
    <w:name w:val="Font Style34"/>
    <w:basedOn w:val="a0"/>
    <w:qFormat/>
    <w:rsid w:val="00E91205"/>
    <w:rPr>
      <w:rFonts w:ascii="Times New Roman" w:hAnsi="Times New Roman" w:cs="Times New Roman"/>
      <w:sz w:val="26"/>
      <w:szCs w:val="26"/>
    </w:rPr>
  </w:style>
  <w:style w:type="character" w:customStyle="1" w:styleId="a7">
    <w:name w:val="Название Знак"/>
    <w:basedOn w:val="a0"/>
    <w:qFormat/>
    <w:rsid w:val="003423D1"/>
    <w:rPr>
      <w:rFonts w:ascii="Times New Roman" w:eastAsia="Times New Roman" w:hAnsi="Times New Roman" w:cs="Times New Roman"/>
      <w:sz w:val="28"/>
      <w:szCs w:val="24"/>
      <w:lang w:eastAsia="ru-RU"/>
    </w:rPr>
  </w:style>
  <w:style w:type="character" w:customStyle="1" w:styleId="a8">
    <w:name w:val="Основной текст Знак"/>
    <w:basedOn w:val="a0"/>
    <w:qFormat/>
    <w:rsid w:val="00562E65"/>
    <w:rPr>
      <w:rFonts w:ascii="Times New Roman" w:eastAsia="Times New Roman" w:hAnsi="Times New Roman" w:cs="Times New Roman"/>
      <w:sz w:val="28"/>
      <w:szCs w:val="20"/>
      <w:lang w:eastAsia="ru-RU"/>
    </w:rPr>
  </w:style>
  <w:style w:type="character" w:customStyle="1" w:styleId="10">
    <w:name w:val="Заголовок 1 Знак"/>
    <w:basedOn w:val="a0"/>
    <w:qFormat/>
    <w:rsid w:val="00AE7E80"/>
    <w:rPr>
      <w:rFonts w:ascii="Times New Roman" w:eastAsia="Times New Roman" w:hAnsi="Times New Roman" w:cs="Times New Roman"/>
      <w:b/>
      <w:sz w:val="28"/>
      <w:szCs w:val="20"/>
      <w:lang w:eastAsia="ru-RU"/>
    </w:rPr>
  </w:style>
  <w:style w:type="character" w:customStyle="1" w:styleId="3">
    <w:name w:val="Основной текст с отступом 3 Знак"/>
    <w:basedOn w:val="a0"/>
    <w:link w:val="3"/>
    <w:qFormat/>
    <w:rsid w:val="00AE7E80"/>
    <w:rPr>
      <w:rFonts w:ascii="Times New Roman" w:eastAsia="Times New Roman" w:hAnsi="Times New Roman" w:cs="Times New Roman"/>
      <w:sz w:val="16"/>
      <w:szCs w:val="16"/>
      <w:lang w:eastAsia="ru-RU"/>
    </w:rPr>
  </w:style>
  <w:style w:type="character" w:customStyle="1" w:styleId="-">
    <w:name w:val="Интернет-ссылка"/>
    <w:rsid w:val="001E365F"/>
    <w:rPr>
      <w:color w:val="000080"/>
      <w:u w:val="single"/>
    </w:rPr>
  </w:style>
  <w:style w:type="paragraph" w:customStyle="1" w:styleId="a9">
    <w:name w:val="Заголовок"/>
    <w:basedOn w:val="a"/>
    <w:next w:val="aa"/>
    <w:qFormat/>
    <w:rsid w:val="001E365F"/>
    <w:pPr>
      <w:keepNext/>
      <w:spacing w:before="240" w:after="120"/>
    </w:pPr>
    <w:rPr>
      <w:rFonts w:ascii="Liberation Sans" w:eastAsia="Noto Sans CJK SC" w:hAnsi="Liberation Sans" w:cs="Lohit Devanagari"/>
      <w:sz w:val="28"/>
      <w:szCs w:val="28"/>
    </w:rPr>
  </w:style>
  <w:style w:type="paragraph" w:styleId="aa">
    <w:name w:val="Body Text"/>
    <w:basedOn w:val="a"/>
    <w:rsid w:val="00562E65"/>
    <w:pPr>
      <w:spacing w:after="120" w:line="240" w:lineRule="auto"/>
    </w:pPr>
    <w:rPr>
      <w:rFonts w:ascii="Times New Roman" w:eastAsia="Times New Roman" w:hAnsi="Times New Roman" w:cs="Times New Roman"/>
      <w:sz w:val="28"/>
      <w:szCs w:val="20"/>
      <w:lang w:eastAsia="ru-RU"/>
    </w:rPr>
  </w:style>
  <w:style w:type="paragraph" w:styleId="ab">
    <w:name w:val="List"/>
    <w:basedOn w:val="aa"/>
    <w:rsid w:val="001E365F"/>
    <w:rPr>
      <w:rFonts w:cs="Lohit Devanagari"/>
    </w:rPr>
  </w:style>
  <w:style w:type="paragraph" w:customStyle="1" w:styleId="Caption">
    <w:name w:val="Caption"/>
    <w:basedOn w:val="a"/>
    <w:qFormat/>
    <w:rsid w:val="001E365F"/>
    <w:pPr>
      <w:suppressLineNumbers/>
      <w:spacing w:before="120" w:after="120"/>
    </w:pPr>
    <w:rPr>
      <w:rFonts w:cs="Lohit Devanagari"/>
      <w:i/>
      <w:iCs/>
      <w:sz w:val="24"/>
      <w:szCs w:val="24"/>
    </w:rPr>
  </w:style>
  <w:style w:type="paragraph" w:styleId="ac">
    <w:name w:val="index heading"/>
    <w:basedOn w:val="a"/>
    <w:qFormat/>
    <w:rsid w:val="001E365F"/>
    <w:pPr>
      <w:suppressLineNumbers/>
    </w:pPr>
    <w:rPr>
      <w:rFonts w:cs="Lohit Devanagari"/>
    </w:rPr>
  </w:style>
  <w:style w:type="paragraph" w:customStyle="1" w:styleId="ad">
    <w:name w:val="Верхний и нижний колонтитулы"/>
    <w:basedOn w:val="a"/>
    <w:qFormat/>
    <w:rsid w:val="001E365F"/>
  </w:style>
  <w:style w:type="paragraph" w:customStyle="1" w:styleId="Footer">
    <w:name w:val="Footer"/>
    <w:basedOn w:val="a"/>
    <w:uiPriority w:val="99"/>
    <w:rsid w:val="00E33E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Header">
    <w:name w:val="Header"/>
    <w:basedOn w:val="a"/>
    <w:uiPriority w:val="99"/>
    <w:rsid w:val="00E33E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Default">
    <w:name w:val="Default"/>
    <w:qFormat/>
    <w:rsid w:val="00E33EC5"/>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E33EC5"/>
    <w:pPr>
      <w:ind w:left="720"/>
      <w:contextualSpacing/>
    </w:pPr>
    <w:rPr>
      <w:rFonts w:ascii="Calibri" w:eastAsia="Times New Roman" w:hAnsi="Calibri" w:cs="Times New Roman"/>
      <w:lang w:eastAsia="ru-RU"/>
    </w:rPr>
  </w:style>
  <w:style w:type="paragraph" w:styleId="af">
    <w:name w:val="Balloon Text"/>
    <w:basedOn w:val="a"/>
    <w:uiPriority w:val="99"/>
    <w:semiHidden/>
    <w:unhideWhenUsed/>
    <w:qFormat/>
    <w:rsid w:val="00E33EC5"/>
    <w:pPr>
      <w:spacing w:after="0" w:line="240" w:lineRule="auto"/>
    </w:pPr>
    <w:rPr>
      <w:rFonts w:ascii="Tahoma" w:hAnsi="Tahoma" w:cs="Tahoma"/>
      <w:sz w:val="16"/>
      <w:szCs w:val="16"/>
    </w:rPr>
  </w:style>
  <w:style w:type="paragraph" w:styleId="af0">
    <w:name w:val="Body Text Indent"/>
    <w:basedOn w:val="a"/>
    <w:rsid w:val="003B6DE5"/>
    <w:pPr>
      <w:spacing w:after="120" w:line="240" w:lineRule="auto"/>
      <w:ind w:left="283"/>
    </w:pPr>
    <w:rPr>
      <w:rFonts w:ascii="Times New Roman" w:eastAsia="Times New Roman" w:hAnsi="Times New Roman" w:cs="Times New Roman"/>
      <w:sz w:val="24"/>
      <w:szCs w:val="24"/>
      <w:lang w:eastAsia="ru-RU"/>
    </w:rPr>
  </w:style>
  <w:style w:type="paragraph" w:customStyle="1" w:styleId="Style9">
    <w:name w:val="Style9"/>
    <w:basedOn w:val="a"/>
    <w:qFormat/>
    <w:rsid w:val="00E91205"/>
    <w:pPr>
      <w:widowControl w:val="0"/>
      <w:spacing w:after="0" w:line="326" w:lineRule="exact"/>
      <w:ind w:firstLine="710"/>
      <w:jc w:val="both"/>
    </w:pPr>
    <w:rPr>
      <w:rFonts w:ascii="Times New Roman" w:eastAsia="Times New Roman" w:hAnsi="Times New Roman" w:cs="Times New Roman"/>
      <w:sz w:val="24"/>
      <w:szCs w:val="24"/>
      <w:lang w:eastAsia="ru-RU"/>
    </w:rPr>
  </w:style>
  <w:style w:type="paragraph" w:customStyle="1" w:styleId="Style1">
    <w:name w:val="Style1"/>
    <w:basedOn w:val="a"/>
    <w:qFormat/>
    <w:rsid w:val="00E91205"/>
    <w:pPr>
      <w:widowControl w:val="0"/>
      <w:spacing w:after="0" w:line="319" w:lineRule="exact"/>
      <w:jc w:val="center"/>
    </w:pPr>
    <w:rPr>
      <w:rFonts w:ascii="Times New Roman" w:eastAsia="Times New Roman" w:hAnsi="Times New Roman" w:cs="Times New Roman"/>
      <w:sz w:val="24"/>
      <w:szCs w:val="24"/>
      <w:lang w:eastAsia="ru-RU"/>
    </w:rPr>
  </w:style>
  <w:style w:type="paragraph" w:styleId="af1">
    <w:name w:val="Title"/>
    <w:basedOn w:val="a"/>
    <w:qFormat/>
    <w:rsid w:val="003423D1"/>
    <w:pPr>
      <w:spacing w:after="0" w:line="240" w:lineRule="auto"/>
      <w:jc w:val="center"/>
    </w:pPr>
    <w:rPr>
      <w:rFonts w:ascii="Times New Roman" w:eastAsia="Times New Roman" w:hAnsi="Times New Roman" w:cs="Times New Roman"/>
      <w:sz w:val="28"/>
      <w:szCs w:val="24"/>
      <w:lang w:eastAsia="ru-RU"/>
    </w:rPr>
  </w:style>
  <w:style w:type="paragraph" w:styleId="af2">
    <w:name w:val="Normal (Web)"/>
    <w:basedOn w:val="a"/>
    <w:qFormat/>
    <w:rsid w:val="00D34FF8"/>
    <w:pPr>
      <w:spacing w:after="75" w:line="240" w:lineRule="auto"/>
    </w:pPr>
    <w:rPr>
      <w:rFonts w:ascii="Verdana" w:eastAsia="Times New Roman" w:hAnsi="Verdana" w:cs="Times New Roman"/>
      <w:color w:val="000000"/>
      <w:sz w:val="18"/>
      <w:szCs w:val="18"/>
      <w:lang w:eastAsia="ru-RU"/>
    </w:rPr>
  </w:style>
  <w:style w:type="paragraph" w:customStyle="1" w:styleId="ConsNonformat">
    <w:name w:val="ConsNonformat"/>
    <w:qFormat/>
    <w:rsid w:val="007C2CB6"/>
    <w:pPr>
      <w:widowControl w:val="0"/>
    </w:pPr>
    <w:rPr>
      <w:rFonts w:ascii="Courier New" w:eastAsia="Times New Roman" w:hAnsi="Courier New" w:cs="Times New Roman"/>
      <w:sz w:val="20"/>
      <w:szCs w:val="20"/>
      <w:lang w:eastAsia="ru-RU"/>
    </w:rPr>
  </w:style>
  <w:style w:type="paragraph" w:customStyle="1" w:styleId="ConsNormal">
    <w:name w:val="ConsNormal"/>
    <w:qFormat/>
    <w:rsid w:val="007C2CB6"/>
    <w:pPr>
      <w:widowControl w:val="0"/>
      <w:ind w:firstLine="720"/>
    </w:pPr>
    <w:rPr>
      <w:rFonts w:ascii="Arial" w:eastAsia="Times New Roman" w:hAnsi="Arial" w:cs="Times New Roman"/>
      <w:sz w:val="20"/>
      <w:szCs w:val="20"/>
      <w:lang w:eastAsia="ru-RU"/>
    </w:rPr>
  </w:style>
  <w:style w:type="paragraph" w:styleId="30">
    <w:name w:val="Body Text Indent 3"/>
    <w:basedOn w:val="a"/>
    <w:qFormat/>
    <w:rsid w:val="00AE7E80"/>
    <w:pPr>
      <w:spacing w:after="120" w:line="240" w:lineRule="auto"/>
      <w:ind w:left="283"/>
    </w:pPr>
    <w:rPr>
      <w:rFonts w:ascii="Times New Roman" w:eastAsia="Times New Roman" w:hAnsi="Times New Roman" w:cs="Times New Roman"/>
      <w:sz w:val="16"/>
      <w:szCs w:val="16"/>
      <w:lang w:eastAsia="ru-RU"/>
    </w:rPr>
  </w:style>
  <w:style w:type="table" w:styleId="af3">
    <w:name w:val="Table Grid"/>
    <w:basedOn w:val="a1"/>
    <w:rsid w:val="00E33EC5"/>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basedOn w:val="a0"/>
    <w:link w:val="1"/>
    <w:rsid w:val="00F23713"/>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188586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29A2-9D31-42A7-9B7E-9A0E29C3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12</Pages>
  <Words>5481</Words>
  <Characters>31244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Win7x32</dc:creator>
  <dc:description/>
  <cp:lastModifiedBy>user108</cp:lastModifiedBy>
  <cp:revision>58</cp:revision>
  <cp:lastPrinted>2023-12-02T07:10:00Z</cp:lastPrinted>
  <dcterms:created xsi:type="dcterms:W3CDTF">2022-11-20T05:50:00Z</dcterms:created>
  <dcterms:modified xsi:type="dcterms:W3CDTF">2023-12-02T07:10:00Z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CtrlSoft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