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C9" w:rsidRDefault="003F6358">
      <w:pPr>
        <w:jc w:val="center"/>
      </w:pPr>
      <w:r>
        <w:rPr>
          <w:noProof/>
          <w:lang w:eastAsia="ru-RU"/>
        </w:rPr>
        <w:drawing>
          <wp:inline distT="0" distB="0" distL="0" distR="0">
            <wp:extent cx="511810" cy="577850"/>
            <wp:effectExtent l="0" t="0" r="0" b="0"/>
            <wp:docPr id="1" name="Рисунок 1" descr="C:\Users\Баглай\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Баглай\Desktop\герб.jpg"/>
                    <pic:cNvPicPr>
                      <a:picLocks noChangeAspect="1" noChangeArrowheads="1"/>
                    </pic:cNvPicPr>
                  </pic:nvPicPr>
                  <pic:blipFill>
                    <a:blip r:embed="rId7"/>
                    <a:srcRect l="11087" t="9996" r="10921" b="25212"/>
                    <a:stretch>
                      <a:fillRect/>
                    </a:stretch>
                  </pic:blipFill>
                  <pic:spPr bwMode="auto">
                    <a:xfrm>
                      <a:off x="0" y="0"/>
                      <a:ext cx="511810" cy="577850"/>
                    </a:xfrm>
                    <a:prstGeom prst="rect">
                      <a:avLst/>
                    </a:prstGeom>
                  </pic:spPr>
                </pic:pic>
              </a:graphicData>
            </a:graphic>
          </wp:inline>
        </w:drawing>
      </w:r>
    </w:p>
    <w:p w:rsidR="007039C9" w:rsidRDefault="003F6358">
      <w:pPr>
        <w:tabs>
          <w:tab w:val="left" w:pos="231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КОНТРОЛЬНО-СЧЕТНЫЙ ОРГАН</w:t>
      </w:r>
    </w:p>
    <w:p w:rsidR="007039C9" w:rsidRDefault="003F63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039C9" w:rsidRDefault="003F63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«ПОЛТАВСКИЙ МУНИЦИПАЛЬНЫЙ РАЙОН ОМСКОЙ ОБЛАСТИ»</w:t>
      </w:r>
    </w:p>
    <w:p w:rsidR="007039C9" w:rsidRDefault="007039C9">
      <w:pPr>
        <w:spacing w:after="0" w:line="240" w:lineRule="auto"/>
        <w:jc w:val="center"/>
        <w:rPr>
          <w:rFonts w:ascii="Times New Roman" w:hAnsi="Times New Roman" w:cs="Times New Roman"/>
          <w:sz w:val="28"/>
          <w:szCs w:val="28"/>
        </w:rPr>
      </w:pPr>
    </w:p>
    <w:p w:rsidR="007039C9" w:rsidRDefault="003F6358">
      <w:pPr>
        <w:spacing w:after="0" w:line="240" w:lineRule="auto"/>
        <w:ind w:firstLine="709"/>
        <w:jc w:val="center"/>
        <w:rPr>
          <w:rFonts w:ascii="Times New Roman" w:hAnsi="Times New Roman" w:cs="Times New Roman"/>
          <w:b/>
          <w:color w:val="FF0000"/>
          <w:sz w:val="28"/>
          <w:szCs w:val="28"/>
        </w:rPr>
      </w:pPr>
      <w:r>
        <w:rPr>
          <w:rFonts w:ascii="Times New Roman" w:hAnsi="Times New Roman" w:cs="Times New Roman"/>
          <w:b/>
          <w:sz w:val="28"/>
          <w:szCs w:val="28"/>
        </w:rPr>
        <w:t>Заключение  № 4</w:t>
      </w:r>
      <w:r w:rsidR="00072CD7">
        <w:rPr>
          <w:rFonts w:ascii="Times New Roman" w:hAnsi="Times New Roman" w:cs="Times New Roman"/>
          <w:b/>
          <w:sz w:val="28"/>
          <w:szCs w:val="28"/>
        </w:rPr>
        <w:t>7</w:t>
      </w:r>
    </w:p>
    <w:p w:rsidR="007039C9" w:rsidRDefault="003F6358">
      <w:pPr>
        <w:spacing w:after="0" w:line="240" w:lineRule="auto"/>
        <w:ind w:firstLine="709"/>
        <w:jc w:val="center"/>
        <w:rPr>
          <w:rFonts w:ascii="Times New Roman" w:hAnsi="Times New Roman" w:cs="Times New Roman"/>
          <w:b/>
          <w:color w:val="FF0000"/>
          <w:sz w:val="28"/>
          <w:szCs w:val="28"/>
        </w:rPr>
      </w:pPr>
      <w:r>
        <w:rPr>
          <w:rFonts w:ascii="Times New Roman" w:hAnsi="Times New Roman" w:cs="Times New Roman"/>
          <w:b/>
          <w:sz w:val="28"/>
          <w:szCs w:val="28"/>
        </w:rPr>
        <w:t xml:space="preserve">на  проект решения Совета  Полтавского городского поселения Полтавского муниципального района «О бюджете  городского поселения </w:t>
      </w:r>
    </w:p>
    <w:p w:rsidR="007039C9" w:rsidRDefault="003F635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202</w:t>
      </w:r>
      <w:r w:rsidR="00072CD7">
        <w:rPr>
          <w:rFonts w:ascii="Times New Roman" w:hAnsi="Times New Roman" w:cs="Times New Roman"/>
          <w:b/>
          <w:sz w:val="28"/>
          <w:szCs w:val="28"/>
        </w:rPr>
        <w:t>4</w:t>
      </w:r>
      <w:r>
        <w:rPr>
          <w:rFonts w:ascii="Times New Roman" w:hAnsi="Times New Roman" w:cs="Times New Roman"/>
          <w:b/>
          <w:sz w:val="28"/>
          <w:szCs w:val="28"/>
        </w:rPr>
        <w:t xml:space="preserve"> год и плановый период 202</w:t>
      </w:r>
      <w:r w:rsidR="00072CD7">
        <w:rPr>
          <w:rFonts w:ascii="Times New Roman" w:hAnsi="Times New Roman" w:cs="Times New Roman"/>
          <w:b/>
          <w:sz w:val="28"/>
          <w:szCs w:val="28"/>
        </w:rPr>
        <w:t>5</w:t>
      </w:r>
      <w:r>
        <w:rPr>
          <w:rFonts w:ascii="Times New Roman" w:hAnsi="Times New Roman" w:cs="Times New Roman"/>
          <w:b/>
          <w:sz w:val="28"/>
          <w:szCs w:val="28"/>
        </w:rPr>
        <w:t xml:space="preserve"> и 202</w:t>
      </w:r>
      <w:r w:rsidR="00072CD7">
        <w:rPr>
          <w:rFonts w:ascii="Times New Roman" w:hAnsi="Times New Roman" w:cs="Times New Roman"/>
          <w:b/>
          <w:sz w:val="28"/>
          <w:szCs w:val="28"/>
        </w:rPr>
        <w:t>6</w:t>
      </w:r>
      <w:r>
        <w:rPr>
          <w:rFonts w:ascii="Times New Roman" w:hAnsi="Times New Roman" w:cs="Times New Roman"/>
          <w:b/>
          <w:sz w:val="28"/>
          <w:szCs w:val="28"/>
        </w:rPr>
        <w:t xml:space="preserve"> годов».</w:t>
      </w:r>
    </w:p>
    <w:p w:rsidR="007039C9" w:rsidRDefault="007039C9">
      <w:pPr>
        <w:jc w:val="both"/>
        <w:rPr>
          <w:rFonts w:ascii="Times New Roman" w:hAnsi="Times New Roman" w:cs="Times New Roman"/>
          <w:sz w:val="24"/>
          <w:szCs w:val="24"/>
        </w:rPr>
      </w:pPr>
    </w:p>
    <w:p w:rsidR="007039C9" w:rsidRDefault="003F6358">
      <w:pPr>
        <w:jc w:val="both"/>
        <w:rPr>
          <w:rFonts w:ascii="Times New Roman" w:hAnsi="Times New Roman" w:cs="Times New Roman"/>
          <w:sz w:val="24"/>
          <w:szCs w:val="24"/>
        </w:rPr>
      </w:pPr>
      <w:r>
        <w:rPr>
          <w:rFonts w:ascii="Times New Roman" w:hAnsi="Times New Roman" w:cs="Times New Roman"/>
          <w:sz w:val="24"/>
          <w:szCs w:val="24"/>
        </w:rPr>
        <w:t xml:space="preserve">р.п. Полтавка                                                                                                     </w:t>
      </w:r>
      <w:bookmarkStart w:id="0" w:name="_GoBack"/>
      <w:bookmarkEnd w:id="0"/>
      <w:r w:rsidR="000A06AB">
        <w:rPr>
          <w:rFonts w:ascii="Times New Roman" w:hAnsi="Times New Roman" w:cs="Times New Roman"/>
          <w:sz w:val="24"/>
          <w:szCs w:val="24"/>
        </w:rPr>
        <w:t>27</w:t>
      </w:r>
      <w:r>
        <w:rPr>
          <w:rFonts w:ascii="Times New Roman" w:hAnsi="Times New Roman" w:cs="Times New Roman"/>
          <w:sz w:val="24"/>
          <w:szCs w:val="24"/>
        </w:rPr>
        <w:t xml:space="preserve"> ноября 202</w:t>
      </w:r>
      <w:r w:rsidR="00072CD7">
        <w:rPr>
          <w:rFonts w:ascii="Times New Roman" w:hAnsi="Times New Roman" w:cs="Times New Roman"/>
          <w:sz w:val="24"/>
          <w:szCs w:val="24"/>
        </w:rPr>
        <w:t>3</w:t>
      </w:r>
      <w:r>
        <w:rPr>
          <w:rFonts w:ascii="Times New Roman" w:hAnsi="Times New Roman" w:cs="Times New Roman"/>
          <w:sz w:val="24"/>
          <w:szCs w:val="24"/>
        </w:rPr>
        <w:t xml:space="preserve">г.    </w:t>
      </w:r>
    </w:p>
    <w:p w:rsidR="007039C9" w:rsidRDefault="003F63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1.Общее положение</w:t>
      </w:r>
    </w:p>
    <w:p w:rsidR="007039C9" w:rsidRDefault="007039C9">
      <w:pPr>
        <w:spacing w:after="0" w:line="240" w:lineRule="auto"/>
        <w:ind w:firstLine="709"/>
        <w:jc w:val="both"/>
        <w:rPr>
          <w:rFonts w:ascii="Times New Roman" w:hAnsi="Times New Roman" w:cs="Times New Roman"/>
          <w:b/>
          <w:sz w:val="24"/>
          <w:szCs w:val="24"/>
        </w:rPr>
      </w:pP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контрольно-счетного органа муниципального образования  на проект решения Совета Полтавского городского поселения Полтавского муниципального района «О проекте решения о бюджете </w:t>
      </w:r>
      <w:r w:rsidR="00E02440">
        <w:rPr>
          <w:rFonts w:ascii="Times New Roman" w:hAnsi="Times New Roman" w:cs="Times New Roman"/>
          <w:sz w:val="24"/>
          <w:szCs w:val="24"/>
        </w:rPr>
        <w:t>город</w:t>
      </w:r>
      <w:r>
        <w:rPr>
          <w:rFonts w:ascii="Times New Roman" w:hAnsi="Times New Roman" w:cs="Times New Roman"/>
          <w:sz w:val="24"/>
          <w:szCs w:val="24"/>
        </w:rPr>
        <w:t>ского поселения на 202</w:t>
      </w:r>
      <w:r w:rsidR="00072CD7">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202</w:t>
      </w:r>
      <w:r w:rsidR="00072CD7">
        <w:rPr>
          <w:rFonts w:ascii="Times New Roman" w:hAnsi="Times New Roman" w:cs="Times New Roman"/>
          <w:sz w:val="24"/>
          <w:szCs w:val="24"/>
        </w:rPr>
        <w:t>5</w:t>
      </w:r>
      <w:r>
        <w:rPr>
          <w:rFonts w:ascii="Times New Roman" w:hAnsi="Times New Roman" w:cs="Times New Roman"/>
          <w:sz w:val="24"/>
          <w:szCs w:val="24"/>
        </w:rPr>
        <w:t xml:space="preserve"> и 202</w:t>
      </w:r>
      <w:r w:rsidR="00072CD7">
        <w:rPr>
          <w:rFonts w:ascii="Times New Roman" w:hAnsi="Times New Roman" w:cs="Times New Roman"/>
          <w:sz w:val="24"/>
          <w:szCs w:val="24"/>
        </w:rPr>
        <w:t>6</w:t>
      </w:r>
      <w:r>
        <w:rPr>
          <w:rFonts w:ascii="Times New Roman" w:hAnsi="Times New Roman" w:cs="Times New Roman"/>
          <w:sz w:val="24"/>
          <w:szCs w:val="24"/>
        </w:rPr>
        <w:t xml:space="preserve"> годов» (далее по тексту – проект решения или проект бюджета), для рассмотрения в первом чтении  подготовлено в соответствии со ст.157 Бюджетного кодекса Российской Федерации,  Федеральным  законом от 07.02.2011 года №6-ФЗ «Об общих принципах организации и  деятельности контрольно-счетных органов субъектов Российской Федерации</w:t>
      </w:r>
      <w:r w:rsidR="00072CD7">
        <w:rPr>
          <w:rFonts w:ascii="Times New Roman" w:hAnsi="Times New Roman" w:cs="Times New Roman"/>
          <w:sz w:val="24"/>
          <w:szCs w:val="24"/>
        </w:rPr>
        <w:t xml:space="preserve">, федеральных территорий </w:t>
      </w:r>
      <w:r>
        <w:rPr>
          <w:rFonts w:ascii="Times New Roman" w:hAnsi="Times New Roman" w:cs="Times New Roman"/>
          <w:sz w:val="24"/>
          <w:szCs w:val="24"/>
        </w:rPr>
        <w:t>и муниципальных образований», Положения о бюджетном процессе в Полтавском городском поселении Полтавско</w:t>
      </w:r>
      <w:r w:rsidR="00072CD7">
        <w:rPr>
          <w:rFonts w:ascii="Times New Roman" w:hAnsi="Times New Roman" w:cs="Times New Roman"/>
          <w:sz w:val="24"/>
          <w:szCs w:val="24"/>
        </w:rPr>
        <w:t>го</w:t>
      </w:r>
      <w:r>
        <w:rPr>
          <w:rFonts w:ascii="Times New Roman" w:hAnsi="Times New Roman" w:cs="Times New Roman"/>
          <w:sz w:val="24"/>
          <w:szCs w:val="24"/>
        </w:rPr>
        <w:t xml:space="preserve"> муниципально</w:t>
      </w:r>
      <w:r w:rsidR="00072CD7">
        <w:rPr>
          <w:rFonts w:ascii="Times New Roman" w:hAnsi="Times New Roman" w:cs="Times New Roman"/>
          <w:sz w:val="24"/>
          <w:szCs w:val="24"/>
        </w:rPr>
        <w:t>го</w:t>
      </w:r>
      <w:r>
        <w:rPr>
          <w:rFonts w:ascii="Times New Roman" w:hAnsi="Times New Roman" w:cs="Times New Roman"/>
          <w:sz w:val="24"/>
          <w:szCs w:val="24"/>
        </w:rPr>
        <w:t xml:space="preserve"> район</w:t>
      </w:r>
      <w:r w:rsidR="00072CD7">
        <w:rPr>
          <w:rFonts w:ascii="Times New Roman" w:hAnsi="Times New Roman" w:cs="Times New Roman"/>
          <w:sz w:val="24"/>
          <w:szCs w:val="24"/>
        </w:rPr>
        <w:t>а</w:t>
      </w:r>
      <w:r>
        <w:rPr>
          <w:rFonts w:ascii="Times New Roman" w:hAnsi="Times New Roman" w:cs="Times New Roman"/>
          <w:sz w:val="24"/>
          <w:szCs w:val="24"/>
        </w:rPr>
        <w:t xml:space="preserve"> (далее Положение о бюджетном процессе), Положением о контрольно-счетном органе муниципального образования «Полтавский муниципальный  район Омской области», утвержденным  решением Совета Полтавского муниципального района от 31.01.2022 года №3, п.</w:t>
      </w:r>
      <w:r w:rsidR="00072CD7">
        <w:rPr>
          <w:rFonts w:ascii="Times New Roman" w:hAnsi="Times New Roman" w:cs="Times New Roman"/>
          <w:sz w:val="24"/>
          <w:szCs w:val="24"/>
        </w:rPr>
        <w:t>2.14</w:t>
      </w:r>
      <w:r>
        <w:rPr>
          <w:rFonts w:ascii="Times New Roman" w:hAnsi="Times New Roman" w:cs="Times New Roman"/>
          <w:sz w:val="24"/>
          <w:szCs w:val="24"/>
        </w:rPr>
        <w:t xml:space="preserve"> Плана работы контрольно-счетного органа муниципального образования на 202</w:t>
      </w:r>
      <w:r w:rsidR="00072CD7">
        <w:rPr>
          <w:rFonts w:ascii="Times New Roman" w:hAnsi="Times New Roman" w:cs="Times New Roman"/>
          <w:sz w:val="24"/>
          <w:szCs w:val="24"/>
        </w:rPr>
        <w:t>3</w:t>
      </w:r>
      <w:r>
        <w:rPr>
          <w:rFonts w:ascii="Times New Roman" w:hAnsi="Times New Roman" w:cs="Times New Roman"/>
          <w:sz w:val="24"/>
          <w:szCs w:val="24"/>
        </w:rPr>
        <w:t xml:space="preserve"> год.</w:t>
      </w: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проведения экспертизы – определить соответствие данного проекта решения, документов представленных с проектом решения действующему бюджетному законодательству и Положению о бюджетном процессе в Полтавском городском поселении Полтавского муниципального района, анализ обоснованности его показателей.</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решения о бюджете Полтавского городского поселения Полтавского муниципального района на 202</w:t>
      </w:r>
      <w:r w:rsidR="00072CD7">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202</w:t>
      </w:r>
      <w:r w:rsidR="00072CD7">
        <w:rPr>
          <w:rFonts w:ascii="Times New Roman" w:hAnsi="Times New Roman" w:cs="Times New Roman"/>
          <w:sz w:val="24"/>
          <w:szCs w:val="24"/>
        </w:rPr>
        <w:t>5</w:t>
      </w:r>
      <w:r>
        <w:rPr>
          <w:rFonts w:ascii="Times New Roman" w:hAnsi="Times New Roman" w:cs="Times New Roman"/>
          <w:sz w:val="24"/>
          <w:szCs w:val="24"/>
        </w:rPr>
        <w:t xml:space="preserve"> и 202</w:t>
      </w:r>
      <w:r w:rsidR="00072CD7">
        <w:rPr>
          <w:rFonts w:ascii="Times New Roman" w:hAnsi="Times New Roman" w:cs="Times New Roman"/>
          <w:sz w:val="24"/>
          <w:szCs w:val="24"/>
        </w:rPr>
        <w:t>6</w:t>
      </w:r>
      <w:r>
        <w:rPr>
          <w:rFonts w:ascii="Times New Roman" w:hAnsi="Times New Roman" w:cs="Times New Roman"/>
          <w:sz w:val="24"/>
          <w:szCs w:val="24"/>
        </w:rPr>
        <w:t xml:space="preserve"> годов внесен  администрацией муниципального образования на рассмотрение в Совет Полтавского городского поселения Полтавского муниципального района не позднее 15 ноября текущего года.</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и содержание документов, предоставленных одновременно с проектом решения, соответствуют</w:t>
      </w:r>
      <w:r w:rsidR="00072CD7">
        <w:rPr>
          <w:rFonts w:ascii="Times New Roman" w:hAnsi="Times New Roman" w:cs="Times New Roman"/>
          <w:sz w:val="24"/>
          <w:szCs w:val="24"/>
        </w:rPr>
        <w:t xml:space="preserve"> требованиям </w:t>
      </w:r>
      <w:r>
        <w:rPr>
          <w:rFonts w:ascii="Times New Roman" w:hAnsi="Times New Roman" w:cs="Times New Roman"/>
          <w:sz w:val="24"/>
          <w:szCs w:val="24"/>
        </w:rPr>
        <w:t>ст</w:t>
      </w:r>
      <w:r w:rsidR="00072CD7">
        <w:rPr>
          <w:rFonts w:ascii="Times New Roman" w:hAnsi="Times New Roman" w:cs="Times New Roman"/>
          <w:sz w:val="24"/>
          <w:szCs w:val="24"/>
        </w:rPr>
        <w:t xml:space="preserve">атьи </w:t>
      </w:r>
      <w:r>
        <w:rPr>
          <w:rFonts w:ascii="Times New Roman" w:hAnsi="Times New Roman" w:cs="Times New Roman"/>
          <w:sz w:val="24"/>
          <w:szCs w:val="24"/>
        </w:rPr>
        <w:t>184.2 БК РФ и Положению о бюджетном процессе в Полтавском городском поселении Полтавского муниципального района Омской области.</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материалы были представлены в контрольно – счетный орган 1</w:t>
      </w:r>
      <w:r w:rsidR="00072CD7">
        <w:rPr>
          <w:rFonts w:ascii="Times New Roman" w:hAnsi="Times New Roman" w:cs="Times New Roman"/>
          <w:sz w:val="24"/>
          <w:szCs w:val="24"/>
        </w:rPr>
        <w:t>4</w:t>
      </w:r>
      <w:r>
        <w:rPr>
          <w:rFonts w:ascii="Times New Roman" w:hAnsi="Times New Roman" w:cs="Times New Roman"/>
          <w:sz w:val="24"/>
          <w:szCs w:val="24"/>
        </w:rPr>
        <w:t>.11.202</w:t>
      </w:r>
      <w:r w:rsidR="00072CD7">
        <w:rPr>
          <w:rFonts w:ascii="Times New Roman" w:hAnsi="Times New Roman" w:cs="Times New Roman"/>
          <w:sz w:val="24"/>
          <w:szCs w:val="24"/>
        </w:rPr>
        <w:t>3</w:t>
      </w:r>
      <w:r>
        <w:rPr>
          <w:rFonts w:ascii="Times New Roman" w:hAnsi="Times New Roman" w:cs="Times New Roman"/>
          <w:sz w:val="24"/>
          <w:szCs w:val="24"/>
        </w:rPr>
        <w:t>г (письмо председателя Совета Полтавского городского поселения Пол</w:t>
      </w:r>
      <w:r w:rsidR="00E02440">
        <w:rPr>
          <w:rFonts w:ascii="Times New Roman" w:hAnsi="Times New Roman" w:cs="Times New Roman"/>
          <w:sz w:val="24"/>
          <w:szCs w:val="24"/>
        </w:rPr>
        <w:t>тавского муниципального района</w:t>
      </w:r>
      <w:r>
        <w:rPr>
          <w:rFonts w:ascii="Times New Roman" w:hAnsi="Times New Roman" w:cs="Times New Roman"/>
          <w:sz w:val="24"/>
          <w:szCs w:val="24"/>
        </w:rPr>
        <w:t xml:space="preserve">), что соответствует статье 14 Положения о бюджетном процессе. </w:t>
      </w:r>
    </w:p>
    <w:p w:rsidR="007039C9" w:rsidRDefault="007039C9">
      <w:pPr>
        <w:tabs>
          <w:tab w:val="left" w:pos="567"/>
        </w:tabs>
        <w:spacing w:after="0" w:line="240" w:lineRule="auto"/>
        <w:ind w:firstLine="709"/>
        <w:jc w:val="both"/>
        <w:rPr>
          <w:rFonts w:ascii="Times New Roman" w:hAnsi="Times New Roman" w:cs="Times New Roman"/>
          <w:sz w:val="24"/>
          <w:szCs w:val="24"/>
        </w:rPr>
      </w:pPr>
    </w:p>
    <w:p w:rsidR="007039C9" w:rsidRDefault="007039C9">
      <w:pPr>
        <w:tabs>
          <w:tab w:val="left" w:pos="567"/>
        </w:tabs>
        <w:spacing w:after="0" w:line="240" w:lineRule="auto"/>
        <w:ind w:firstLine="709"/>
        <w:jc w:val="both"/>
        <w:rPr>
          <w:rFonts w:ascii="Times New Roman" w:hAnsi="Times New Roman" w:cs="Times New Roman"/>
          <w:sz w:val="24"/>
          <w:szCs w:val="24"/>
        </w:rPr>
      </w:pPr>
    </w:p>
    <w:p w:rsidR="007039C9" w:rsidRDefault="003F6358">
      <w:pPr>
        <w:pStyle w:val="Default"/>
        <w:ind w:firstLine="709"/>
        <w:jc w:val="center"/>
        <w:rPr>
          <w:b/>
          <w:bCs/>
          <w:color w:val="auto"/>
        </w:rPr>
      </w:pPr>
      <w:r>
        <w:rPr>
          <w:b/>
          <w:bCs/>
          <w:color w:val="auto"/>
        </w:rPr>
        <w:lastRenderedPageBreak/>
        <w:t>2. Анализ соответствия проекта бюджета требованиям бюджетного законодательства</w:t>
      </w:r>
    </w:p>
    <w:p w:rsidR="007039C9" w:rsidRDefault="003F6358">
      <w:pPr>
        <w:pStyle w:val="Default"/>
        <w:ind w:firstLine="709"/>
        <w:jc w:val="center"/>
        <w:rPr>
          <w:b/>
          <w:bCs/>
          <w:color w:val="auto"/>
        </w:rPr>
      </w:pPr>
      <w:r>
        <w:rPr>
          <w:b/>
          <w:bCs/>
          <w:color w:val="auto"/>
        </w:rPr>
        <w:t>2.1. Анализ текстовой части проекта бюджета.</w:t>
      </w:r>
    </w:p>
    <w:p w:rsidR="007039C9" w:rsidRDefault="007039C9">
      <w:pPr>
        <w:pStyle w:val="Default"/>
        <w:ind w:firstLine="709"/>
        <w:jc w:val="center"/>
        <w:rPr>
          <w:color w:val="auto"/>
        </w:rPr>
      </w:pPr>
    </w:p>
    <w:p w:rsidR="007039C9" w:rsidRDefault="003F6358">
      <w:pPr>
        <w:pStyle w:val="Default"/>
        <w:ind w:firstLine="709"/>
        <w:jc w:val="both"/>
        <w:rPr>
          <w:color w:val="auto"/>
        </w:rPr>
      </w:pPr>
      <w:r>
        <w:rPr>
          <w:color w:val="auto"/>
        </w:rPr>
        <w:t xml:space="preserve">Проект  бюджета </w:t>
      </w:r>
      <w:r>
        <w:rPr>
          <w:rFonts w:eastAsiaTheme="minorHAnsi"/>
          <w:color w:val="auto"/>
          <w:lang w:eastAsia="en-US"/>
        </w:rPr>
        <w:t>Полтавского городского</w:t>
      </w:r>
      <w:r>
        <w:t xml:space="preserve"> поселения</w:t>
      </w:r>
      <w:r>
        <w:rPr>
          <w:color w:val="auto"/>
        </w:rPr>
        <w:t xml:space="preserve"> Полтавского муниципального района на 202</w:t>
      </w:r>
      <w:r w:rsidR="00072CD7">
        <w:rPr>
          <w:color w:val="auto"/>
        </w:rPr>
        <w:t>4</w:t>
      </w:r>
      <w:r>
        <w:rPr>
          <w:color w:val="auto"/>
        </w:rPr>
        <w:t xml:space="preserve"> год и  на плановый период 202</w:t>
      </w:r>
      <w:r w:rsidR="00072CD7">
        <w:rPr>
          <w:color w:val="auto"/>
        </w:rPr>
        <w:t>5</w:t>
      </w:r>
      <w:r>
        <w:rPr>
          <w:color w:val="auto"/>
        </w:rPr>
        <w:t xml:space="preserve"> и 202</w:t>
      </w:r>
      <w:r w:rsidR="00072CD7">
        <w:rPr>
          <w:color w:val="auto"/>
        </w:rPr>
        <w:t>6</w:t>
      </w:r>
      <w:r>
        <w:rPr>
          <w:color w:val="auto"/>
        </w:rPr>
        <w:t xml:space="preserve"> годов проанализирован на его соответствие требованиям Бюджетного кодекса Российской Федерации, Федерального закона от 06.10.2003 года №131-ФЗ «Об общих принципах организации местного самоуправления», Устава поселения, Положения о бюджетном процессе. </w:t>
      </w:r>
    </w:p>
    <w:p w:rsidR="007039C9" w:rsidRDefault="003F6358">
      <w:pPr>
        <w:pStyle w:val="Default"/>
        <w:ind w:firstLine="709"/>
        <w:jc w:val="both"/>
        <w:rPr>
          <w:bCs/>
        </w:rPr>
      </w:pPr>
      <w:r>
        <w:rPr>
          <w:color w:val="auto"/>
        </w:rPr>
        <w:t xml:space="preserve">Проектом решения  Совета </w:t>
      </w:r>
      <w:r>
        <w:rPr>
          <w:rFonts w:eastAsiaTheme="minorHAnsi"/>
          <w:color w:val="auto"/>
          <w:lang w:eastAsia="en-US"/>
        </w:rPr>
        <w:t>Полтавского городского</w:t>
      </w:r>
      <w:r>
        <w:t xml:space="preserve"> поселения</w:t>
      </w:r>
      <w:r>
        <w:rPr>
          <w:color w:val="auto"/>
        </w:rPr>
        <w:t xml:space="preserve"> Полтавского муниципального района на 202</w:t>
      </w:r>
      <w:r w:rsidR="00072CD7">
        <w:rPr>
          <w:color w:val="auto"/>
        </w:rPr>
        <w:t>4</w:t>
      </w:r>
      <w:r>
        <w:rPr>
          <w:color w:val="auto"/>
        </w:rPr>
        <w:t xml:space="preserve"> год и  на плановый период 202</w:t>
      </w:r>
      <w:r w:rsidR="00072CD7">
        <w:rPr>
          <w:color w:val="auto"/>
        </w:rPr>
        <w:t>5</w:t>
      </w:r>
      <w:r>
        <w:rPr>
          <w:color w:val="auto"/>
        </w:rPr>
        <w:t xml:space="preserve"> и 202</w:t>
      </w:r>
      <w:r w:rsidR="00072CD7">
        <w:rPr>
          <w:color w:val="auto"/>
        </w:rPr>
        <w:t>6</w:t>
      </w:r>
      <w:r>
        <w:rPr>
          <w:color w:val="auto"/>
        </w:rPr>
        <w:t xml:space="preserve"> годов статьей 1 текстовой части  проекта предлагается утвердить основные характеристики бюджета </w:t>
      </w:r>
      <w:r>
        <w:rPr>
          <w:szCs w:val="28"/>
        </w:rPr>
        <w:t>(общий объем доходов, общий объем расходов, дефицит (профицит) бюджета), что соответствует требованиям пункта 1 статьи 184.1 БК РФ, пункту 1 статьи 1</w:t>
      </w:r>
      <w:r w:rsidR="00E02440">
        <w:rPr>
          <w:szCs w:val="28"/>
        </w:rPr>
        <w:t>1</w:t>
      </w:r>
      <w:r>
        <w:rPr>
          <w:szCs w:val="28"/>
        </w:rPr>
        <w:t xml:space="preserve"> Положения о бюджетном процессе.</w:t>
      </w:r>
    </w:p>
    <w:p w:rsidR="007039C9" w:rsidRPr="00072CD7" w:rsidRDefault="003F6358">
      <w:pPr>
        <w:pStyle w:val="Default"/>
        <w:ind w:firstLine="709"/>
        <w:jc w:val="both"/>
        <w:rPr>
          <w:color w:val="auto"/>
        </w:rPr>
      </w:pPr>
      <w:r>
        <w:rPr>
          <w:color w:val="auto"/>
        </w:rPr>
        <w:t>Статьей 2 текстовой части проекта установлены прогнозируемые доходы местного бюджета на 202</w:t>
      </w:r>
      <w:r w:rsidR="00072CD7">
        <w:rPr>
          <w:color w:val="auto"/>
        </w:rPr>
        <w:t>4</w:t>
      </w:r>
      <w:r>
        <w:rPr>
          <w:color w:val="auto"/>
        </w:rPr>
        <w:t xml:space="preserve"> год и  на плановый период 202</w:t>
      </w:r>
      <w:r w:rsidR="00072CD7">
        <w:rPr>
          <w:color w:val="auto"/>
        </w:rPr>
        <w:t xml:space="preserve">5 и 2026 </w:t>
      </w:r>
      <w:r>
        <w:rPr>
          <w:color w:val="auto"/>
        </w:rPr>
        <w:t>годов по классификации доходов бюджетов РФ (приложение 1,</w:t>
      </w:r>
      <w:r w:rsidR="00AA6962">
        <w:rPr>
          <w:color w:val="auto"/>
        </w:rPr>
        <w:t xml:space="preserve"> </w:t>
      </w:r>
      <w:r>
        <w:rPr>
          <w:color w:val="auto"/>
        </w:rPr>
        <w:t xml:space="preserve">2 к проекту) налоговых, неналоговых доходов, безвозмездных поступлений в соответствии </w:t>
      </w:r>
      <w:r w:rsidRPr="00072CD7">
        <w:rPr>
          <w:color w:val="auto"/>
        </w:rPr>
        <w:t>со ст</w:t>
      </w:r>
      <w:r w:rsidR="00072CD7">
        <w:rPr>
          <w:color w:val="auto"/>
        </w:rPr>
        <w:t>атьей</w:t>
      </w:r>
      <w:r w:rsidRPr="00072CD7">
        <w:rPr>
          <w:color w:val="auto"/>
        </w:rPr>
        <w:t xml:space="preserve"> </w:t>
      </w:r>
      <w:r w:rsidR="00E02440" w:rsidRPr="00072CD7">
        <w:t xml:space="preserve">58, 184.1 </w:t>
      </w:r>
      <w:r w:rsidRPr="00072CD7">
        <w:rPr>
          <w:color w:val="auto"/>
        </w:rPr>
        <w:t xml:space="preserve">БК РФ. </w:t>
      </w: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Статьей 3 текстовой части проекта предлагается утвердить объем бюджетных ассигнований,  направленны</w:t>
      </w:r>
      <w:r w:rsidR="00072CD7">
        <w:rPr>
          <w:rFonts w:ascii="Times New Roman" w:hAnsi="Times New Roman" w:cs="Times New Roman"/>
          <w:sz w:val="24"/>
          <w:szCs w:val="24"/>
        </w:rPr>
        <w:t>х</w:t>
      </w:r>
      <w:r>
        <w:rPr>
          <w:rFonts w:ascii="Times New Roman" w:hAnsi="Times New Roman" w:cs="Times New Roman"/>
          <w:sz w:val="24"/>
          <w:szCs w:val="24"/>
        </w:rPr>
        <w:t xml:space="preserve"> на исполнение публичных нормативных обязательств.</w:t>
      </w: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w:t>
      </w:r>
      <w:r w:rsidR="00BD27D1">
        <w:rPr>
          <w:rFonts w:ascii="Times New Roman" w:hAnsi="Times New Roman" w:cs="Times New Roman"/>
          <w:sz w:val="24"/>
          <w:szCs w:val="24"/>
        </w:rPr>
        <w:t xml:space="preserve"> с </w:t>
      </w:r>
      <w:r>
        <w:rPr>
          <w:rFonts w:ascii="Times New Roman" w:hAnsi="Times New Roman" w:cs="Times New Roman"/>
          <w:sz w:val="24"/>
          <w:szCs w:val="24"/>
        </w:rPr>
        <w:t xml:space="preserve"> пунктом </w:t>
      </w:r>
      <w:r w:rsidR="00AA6962">
        <w:rPr>
          <w:rFonts w:ascii="Times New Roman" w:hAnsi="Times New Roman" w:cs="Times New Roman"/>
          <w:sz w:val="24"/>
          <w:szCs w:val="24"/>
        </w:rPr>
        <w:t>4</w:t>
      </w:r>
      <w:r>
        <w:rPr>
          <w:rFonts w:ascii="Times New Roman" w:hAnsi="Times New Roman" w:cs="Times New Roman"/>
          <w:sz w:val="24"/>
          <w:szCs w:val="24"/>
        </w:rPr>
        <w:t xml:space="preserve"> статьи 179.4 БК РФ, пунктом 2 статьи 1</w:t>
      </w:r>
      <w:r w:rsidR="00AA6962">
        <w:rPr>
          <w:rFonts w:ascii="Times New Roman" w:hAnsi="Times New Roman" w:cs="Times New Roman"/>
          <w:sz w:val="24"/>
          <w:szCs w:val="24"/>
        </w:rPr>
        <w:t>1</w:t>
      </w:r>
      <w:r>
        <w:rPr>
          <w:rFonts w:ascii="Times New Roman" w:hAnsi="Times New Roman" w:cs="Times New Roman"/>
          <w:sz w:val="24"/>
          <w:szCs w:val="24"/>
        </w:rPr>
        <w:t xml:space="preserve"> Положения о бюджетном процессе в статье 3 проекта решения предусматривается объем бюджетных ассигнований дорожного фонда Полтавского городского поселения Полтавского муниципального района Омской области который создан </w:t>
      </w:r>
      <w:r w:rsidR="004A6D1F">
        <w:rPr>
          <w:rFonts w:ascii="Times New Roman" w:hAnsi="Times New Roman" w:cs="Times New Roman"/>
          <w:sz w:val="24"/>
          <w:szCs w:val="24"/>
        </w:rPr>
        <w:t xml:space="preserve">в соответствии с </w:t>
      </w:r>
      <w:r w:rsidR="004A6D1F" w:rsidRPr="004A6D1F">
        <w:rPr>
          <w:rFonts w:ascii="Times New Roman" w:hAnsi="Times New Roman" w:cs="Times New Roman"/>
          <w:sz w:val="24"/>
          <w:szCs w:val="24"/>
        </w:rPr>
        <w:t>Порядком</w:t>
      </w:r>
      <w:r w:rsidR="004A6D1F">
        <w:rPr>
          <w:rFonts w:ascii="Times New Roman" w:hAnsi="Times New Roman" w:cs="Times New Roman"/>
          <w:sz w:val="24"/>
          <w:szCs w:val="24"/>
        </w:rPr>
        <w:t xml:space="preserve">  формирования и использования бюджетных ассигнований, дорожного фонда Полтавского городского поселения (утвержденного решением Совета от 24.04.2023г №33)</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Статьей 3 проекта решения в соответствии с требованиями статьи 184.1 БК РФ, пунктом 2 статьи 10 Положения о бюджетном процессе предлагается утвердить на 202</w:t>
      </w:r>
      <w:r w:rsidR="004A6D1F">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4A6D1F">
        <w:rPr>
          <w:rFonts w:ascii="Times New Roman" w:hAnsi="Times New Roman" w:cs="Times New Roman"/>
          <w:sz w:val="24"/>
          <w:szCs w:val="24"/>
        </w:rPr>
        <w:t>5</w:t>
      </w:r>
      <w:r>
        <w:rPr>
          <w:rFonts w:ascii="Times New Roman" w:hAnsi="Times New Roman" w:cs="Times New Roman"/>
          <w:sz w:val="24"/>
          <w:szCs w:val="24"/>
        </w:rPr>
        <w:t xml:space="preserve"> и 202</w:t>
      </w:r>
      <w:r w:rsidR="004A6D1F">
        <w:rPr>
          <w:rFonts w:ascii="Times New Roman" w:hAnsi="Times New Roman" w:cs="Times New Roman"/>
          <w:sz w:val="24"/>
          <w:szCs w:val="24"/>
        </w:rPr>
        <w:t>6</w:t>
      </w:r>
      <w:r>
        <w:rPr>
          <w:rFonts w:ascii="Times New Roman" w:hAnsi="Times New Roman" w:cs="Times New Roman"/>
          <w:sz w:val="24"/>
          <w:szCs w:val="24"/>
        </w:rPr>
        <w:t> годов:</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местного бюджета по разделам и подразделам классификации расходов бюджетов (приложение № 3 к проекту решения);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ведомственную структуру расходов местного бюджета (приложение № 4 к проекту решения);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(приложение № 5 к проекту решения).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Пунктом </w:t>
      </w:r>
      <w:r w:rsidR="00AA6962">
        <w:rPr>
          <w:rFonts w:ascii="Times New Roman" w:hAnsi="Times New Roman" w:cs="Times New Roman"/>
          <w:sz w:val="24"/>
          <w:szCs w:val="24"/>
        </w:rPr>
        <w:t>4</w:t>
      </w:r>
      <w:r>
        <w:rPr>
          <w:rFonts w:ascii="Times New Roman" w:hAnsi="Times New Roman" w:cs="Times New Roman"/>
          <w:sz w:val="24"/>
          <w:szCs w:val="24"/>
        </w:rPr>
        <w:t xml:space="preserve"> статьи 3 проекта решения в соответствии с пунктом 8 статьи 217 БК РФ установлены дополнительные основания для внесения изменений в 202</w:t>
      </w:r>
      <w:r w:rsidR="00BD27D1">
        <w:rPr>
          <w:rFonts w:ascii="Times New Roman" w:hAnsi="Times New Roman" w:cs="Times New Roman"/>
          <w:sz w:val="24"/>
          <w:szCs w:val="24"/>
        </w:rPr>
        <w:t>4</w:t>
      </w:r>
      <w:r>
        <w:rPr>
          <w:rFonts w:ascii="Times New Roman" w:hAnsi="Times New Roman" w:cs="Times New Roman"/>
          <w:sz w:val="24"/>
          <w:szCs w:val="24"/>
        </w:rPr>
        <w:t xml:space="preserve"> году в показатели сводной бюджетной росписи местного бюджета без внесения изменений в решение о местного бюджете.</w:t>
      </w:r>
    </w:p>
    <w:p w:rsidR="007039C9" w:rsidRDefault="00AA6962">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Статьей </w:t>
      </w:r>
      <w:r w:rsidR="00BD27D1">
        <w:rPr>
          <w:rFonts w:ascii="Times New Roman" w:hAnsi="Times New Roman" w:cs="Times New Roman"/>
          <w:sz w:val="24"/>
          <w:szCs w:val="24"/>
        </w:rPr>
        <w:t>4</w:t>
      </w:r>
      <w:r w:rsidR="003F6358">
        <w:rPr>
          <w:rFonts w:ascii="Times New Roman" w:hAnsi="Times New Roman" w:cs="Times New Roman"/>
          <w:sz w:val="24"/>
          <w:szCs w:val="24"/>
        </w:rPr>
        <w:t xml:space="preserve"> проекта решения установлен размер резервного фонда администрации Полтавского городского поселения Полтавско</w:t>
      </w:r>
      <w:r w:rsidR="00BD27D1">
        <w:rPr>
          <w:rFonts w:ascii="Times New Roman" w:hAnsi="Times New Roman" w:cs="Times New Roman"/>
          <w:sz w:val="24"/>
          <w:szCs w:val="24"/>
        </w:rPr>
        <w:t>го муниципального района на 2024</w:t>
      </w:r>
      <w:r w:rsidR="003F6358">
        <w:rPr>
          <w:rFonts w:ascii="Times New Roman" w:hAnsi="Times New Roman" w:cs="Times New Roman"/>
          <w:sz w:val="24"/>
          <w:szCs w:val="24"/>
        </w:rPr>
        <w:t xml:space="preserve"> г и плановый период 202</w:t>
      </w:r>
      <w:r w:rsidR="00BD27D1">
        <w:rPr>
          <w:rFonts w:ascii="Times New Roman" w:hAnsi="Times New Roman" w:cs="Times New Roman"/>
          <w:sz w:val="24"/>
          <w:szCs w:val="24"/>
        </w:rPr>
        <w:t>5</w:t>
      </w:r>
      <w:r w:rsidR="003F6358">
        <w:rPr>
          <w:rFonts w:ascii="Times New Roman" w:hAnsi="Times New Roman" w:cs="Times New Roman"/>
          <w:sz w:val="24"/>
          <w:szCs w:val="24"/>
        </w:rPr>
        <w:t xml:space="preserve"> и 202</w:t>
      </w:r>
      <w:r w:rsidR="00BD27D1">
        <w:rPr>
          <w:rFonts w:ascii="Times New Roman" w:hAnsi="Times New Roman" w:cs="Times New Roman"/>
          <w:sz w:val="24"/>
          <w:szCs w:val="24"/>
        </w:rPr>
        <w:t>6</w:t>
      </w:r>
      <w:r w:rsidR="003F6358">
        <w:rPr>
          <w:rFonts w:ascii="Times New Roman" w:hAnsi="Times New Roman" w:cs="Times New Roman"/>
          <w:sz w:val="24"/>
          <w:szCs w:val="24"/>
        </w:rPr>
        <w:t xml:space="preserve"> годов, данные расходы соответствуют ч.3 ст. 81 БК РФ.</w:t>
      </w:r>
    </w:p>
    <w:p w:rsidR="00AA6962" w:rsidRDefault="003F6358" w:rsidP="00AA6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соблюдения принципа эффективности расходования бюджетных средств, установленного статьей 34 БК РФ,  статьей </w:t>
      </w:r>
      <w:r w:rsidR="007045B2">
        <w:rPr>
          <w:rFonts w:ascii="Times New Roman" w:hAnsi="Times New Roman" w:cs="Times New Roman"/>
          <w:sz w:val="24"/>
          <w:szCs w:val="24"/>
        </w:rPr>
        <w:t>5</w:t>
      </w:r>
      <w:r>
        <w:rPr>
          <w:rFonts w:ascii="Times New Roman" w:hAnsi="Times New Roman" w:cs="Times New Roman"/>
          <w:sz w:val="24"/>
          <w:szCs w:val="24"/>
        </w:rPr>
        <w:t xml:space="preserve"> проекта решения установлены особенности использования бюджетных ассигнований по обеспечению деятельности органов местного самоуправления, муниципальных учреждений.</w:t>
      </w:r>
    </w:p>
    <w:p w:rsidR="007045B2" w:rsidRPr="007045B2" w:rsidRDefault="007045B2" w:rsidP="007045B2">
      <w:pPr>
        <w:suppressAutoHyphens w:val="0"/>
        <w:spacing w:after="0" w:line="240" w:lineRule="auto"/>
        <w:ind w:firstLine="709"/>
        <w:rPr>
          <w:rFonts w:ascii="Times New Roman" w:eastAsia="Times New Roman" w:hAnsi="Times New Roman" w:cs="Times New Roman"/>
          <w:color w:val="000000"/>
          <w:sz w:val="24"/>
          <w:szCs w:val="24"/>
          <w:lang w:eastAsia="ru-RU"/>
        </w:rPr>
      </w:pPr>
      <w:r w:rsidRPr="007045B2">
        <w:rPr>
          <w:rFonts w:ascii="Times New Roman" w:eastAsia="Times New Roman" w:hAnsi="Times New Roman" w:cs="Times New Roman"/>
          <w:color w:val="000000"/>
          <w:sz w:val="24"/>
          <w:szCs w:val="24"/>
          <w:lang w:eastAsia="ru-RU"/>
        </w:rPr>
        <w:t>В статье 6 проекта решения в соответствии со статьей 79 БК РФ, пунктом 2 статьи 11 Положения о бюджетном процессе предусмотрено утверждение Адресной инвестиц</w:t>
      </w:r>
      <w:r w:rsidRPr="007045B2">
        <w:rPr>
          <w:rFonts w:ascii="Times New Roman" w:eastAsia="Times New Roman" w:hAnsi="Times New Roman" w:cs="Times New Roman"/>
          <w:color w:val="000000"/>
          <w:sz w:val="24"/>
          <w:szCs w:val="24"/>
          <w:lang w:eastAsia="ru-RU"/>
        </w:rPr>
        <w:t>и</w:t>
      </w:r>
      <w:r w:rsidRPr="007045B2">
        <w:rPr>
          <w:rFonts w:ascii="Times New Roman" w:eastAsia="Times New Roman" w:hAnsi="Times New Roman" w:cs="Times New Roman"/>
          <w:color w:val="000000"/>
          <w:sz w:val="24"/>
          <w:szCs w:val="24"/>
          <w:lang w:eastAsia="ru-RU"/>
        </w:rPr>
        <w:lastRenderedPageBreak/>
        <w:t>онной программы Полтавского городского поселения на 2024 год и на плановый период 2025 и 2026 годов (приложение № 6 к проекту решения).</w:t>
      </w:r>
    </w:p>
    <w:p w:rsidR="007039C9" w:rsidRDefault="003F6358" w:rsidP="007045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Статьей </w:t>
      </w:r>
      <w:r w:rsidR="00F57830">
        <w:rPr>
          <w:rFonts w:ascii="Times New Roman" w:hAnsi="Times New Roman" w:cs="Times New Roman"/>
          <w:sz w:val="24"/>
          <w:szCs w:val="24"/>
        </w:rPr>
        <w:t>7</w:t>
      </w:r>
      <w:r>
        <w:rPr>
          <w:rFonts w:ascii="Times New Roman" w:hAnsi="Times New Roman" w:cs="Times New Roman"/>
          <w:sz w:val="24"/>
          <w:szCs w:val="24"/>
        </w:rPr>
        <w:t xml:space="preserve"> проекта решения в соответствии с пунктом 3 статьи 184.1 БК РФ, пунктом 2 статьи 1</w:t>
      </w:r>
      <w:r w:rsidR="00AA6962">
        <w:rPr>
          <w:rFonts w:ascii="Times New Roman" w:hAnsi="Times New Roman" w:cs="Times New Roman"/>
          <w:sz w:val="24"/>
          <w:szCs w:val="24"/>
        </w:rPr>
        <w:t>1</w:t>
      </w:r>
      <w:r>
        <w:rPr>
          <w:rFonts w:ascii="Times New Roman" w:hAnsi="Times New Roman" w:cs="Times New Roman"/>
          <w:sz w:val="24"/>
          <w:szCs w:val="24"/>
        </w:rPr>
        <w:t xml:space="preserve"> Положения о бюджетном процессе утверждается объем межбюджетных трансфертов, получаемых из других бюджетов бюджетной системы Российской Федерации, а также объем межбюджетных трансфертов, предоставляемых другим бюджетам бюджетной системы Российской Федерации, в 202</w:t>
      </w:r>
      <w:r w:rsidR="00F57830">
        <w:rPr>
          <w:rFonts w:ascii="Times New Roman" w:hAnsi="Times New Roman" w:cs="Times New Roman"/>
          <w:sz w:val="24"/>
          <w:szCs w:val="24"/>
        </w:rPr>
        <w:t>4</w:t>
      </w:r>
      <w:r>
        <w:rPr>
          <w:rFonts w:ascii="Times New Roman" w:hAnsi="Times New Roman" w:cs="Times New Roman"/>
          <w:sz w:val="24"/>
          <w:szCs w:val="24"/>
        </w:rPr>
        <w:t>-202</w:t>
      </w:r>
      <w:r w:rsidR="00F57830">
        <w:rPr>
          <w:rFonts w:ascii="Times New Roman" w:hAnsi="Times New Roman" w:cs="Times New Roman"/>
          <w:sz w:val="24"/>
          <w:szCs w:val="24"/>
        </w:rPr>
        <w:t>6</w:t>
      </w:r>
      <w:r>
        <w:rPr>
          <w:rFonts w:ascii="Times New Roman" w:hAnsi="Times New Roman" w:cs="Times New Roman"/>
          <w:sz w:val="24"/>
          <w:szCs w:val="24"/>
        </w:rPr>
        <w:t xml:space="preserve"> годах.</w:t>
      </w:r>
    </w:p>
    <w:p w:rsidR="007039C9" w:rsidRDefault="00AA6962">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Статьей </w:t>
      </w:r>
      <w:r w:rsidR="00F57830">
        <w:rPr>
          <w:rFonts w:ascii="Times New Roman" w:hAnsi="Times New Roman" w:cs="Times New Roman"/>
          <w:sz w:val="24"/>
          <w:szCs w:val="24"/>
        </w:rPr>
        <w:t>8</w:t>
      </w:r>
      <w:r w:rsidR="003F6358">
        <w:rPr>
          <w:rFonts w:ascii="Times New Roman" w:hAnsi="Times New Roman" w:cs="Times New Roman"/>
          <w:sz w:val="24"/>
          <w:szCs w:val="24"/>
        </w:rPr>
        <w:t xml:space="preserve"> проекта решения в соответствии с пунктом </w:t>
      </w:r>
      <w:r>
        <w:rPr>
          <w:rFonts w:ascii="Times New Roman" w:hAnsi="Times New Roman" w:cs="Times New Roman"/>
          <w:sz w:val="24"/>
          <w:szCs w:val="24"/>
        </w:rPr>
        <w:t>2</w:t>
      </w:r>
      <w:r w:rsidR="003F6358">
        <w:rPr>
          <w:rFonts w:ascii="Times New Roman" w:hAnsi="Times New Roman" w:cs="Times New Roman"/>
          <w:sz w:val="24"/>
          <w:szCs w:val="24"/>
        </w:rPr>
        <w:t xml:space="preserve"> статьи 101, статьями </w:t>
      </w:r>
      <w:r>
        <w:rPr>
          <w:rFonts w:ascii="Times New Roman" w:hAnsi="Times New Roman" w:cs="Times New Roman"/>
          <w:sz w:val="24"/>
          <w:szCs w:val="24"/>
        </w:rPr>
        <w:t xml:space="preserve">103, </w:t>
      </w:r>
      <w:r w:rsidR="003F6358">
        <w:rPr>
          <w:rFonts w:ascii="Times New Roman" w:hAnsi="Times New Roman" w:cs="Times New Roman"/>
          <w:sz w:val="24"/>
          <w:szCs w:val="24"/>
        </w:rPr>
        <w:t>107, 108.</w:t>
      </w:r>
      <w:r>
        <w:rPr>
          <w:rFonts w:ascii="Times New Roman" w:hAnsi="Times New Roman" w:cs="Times New Roman"/>
          <w:sz w:val="24"/>
          <w:szCs w:val="24"/>
        </w:rPr>
        <w:t>2</w:t>
      </w:r>
      <w:r w:rsidR="003F6358">
        <w:rPr>
          <w:rFonts w:ascii="Times New Roman" w:hAnsi="Times New Roman" w:cs="Times New Roman"/>
          <w:sz w:val="24"/>
          <w:szCs w:val="24"/>
        </w:rPr>
        <w:t>, 110.1, 111 БК РФ, статьей 1</w:t>
      </w:r>
      <w:r>
        <w:rPr>
          <w:rFonts w:ascii="Times New Roman" w:hAnsi="Times New Roman" w:cs="Times New Roman"/>
          <w:sz w:val="24"/>
          <w:szCs w:val="24"/>
        </w:rPr>
        <w:t>1</w:t>
      </w:r>
      <w:r w:rsidR="003F6358">
        <w:rPr>
          <w:rFonts w:ascii="Times New Roman" w:hAnsi="Times New Roman" w:cs="Times New Roman"/>
          <w:sz w:val="24"/>
          <w:szCs w:val="24"/>
        </w:rPr>
        <w:t xml:space="preserve"> Положения о бюджетном процессе регулируются вопросы управления муниципальным внутренним долгом Полтавского городского поселения Полтавского муниципального района, предлагается утвердить верхний предел муниципального внутреннего долга и  верхний предел долга по муниципальным гарантиям, а также объем расходов на его обслуживание;</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утверждаются источники финансирования дефицита местного бюджета на 202</w:t>
      </w:r>
      <w:r w:rsidR="00F57830">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F57830">
        <w:rPr>
          <w:rFonts w:ascii="Times New Roman" w:hAnsi="Times New Roman" w:cs="Times New Roman"/>
          <w:sz w:val="24"/>
          <w:szCs w:val="24"/>
        </w:rPr>
        <w:t>5 и 2026</w:t>
      </w:r>
      <w:r>
        <w:rPr>
          <w:rFonts w:ascii="Times New Roman" w:hAnsi="Times New Roman" w:cs="Times New Roman"/>
          <w:sz w:val="24"/>
          <w:szCs w:val="24"/>
        </w:rPr>
        <w:t xml:space="preserve"> годов (приложение № </w:t>
      </w:r>
      <w:r w:rsidR="00AA6962">
        <w:rPr>
          <w:rFonts w:ascii="Times New Roman" w:hAnsi="Times New Roman" w:cs="Times New Roman"/>
          <w:sz w:val="24"/>
          <w:szCs w:val="24"/>
        </w:rPr>
        <w:t>7</w:t>
      </w:r>
      <w:r>
        <w:rPr>
          <w:rFonts w:ascii="Times New Roman" w:hAnsi="Times New Roman" w:cs="Times New Roman"/>
          <w:sz w:val="24"/>
          <w:szCs w:val="24"/>
        </w:rPr>
        <w:t xml:space="preserve"> к проекту решения);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утверждается программа муниципальных внутренних заимствований  на 202</w:t>
      </w:r>
      <w:r w:rsidR="00F57830">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F57830">
        <w:rPr>
          <w:rFonts w:ascii="Times New Roman" w:hAnsi="Times New Roman" w:cs="Times New Roman"/>
          <w:sz w:val="24"/>
          <w:szCs w:val="24"/>
        </w:rPr>
        <w:t>5</w:t>
      </w:r>
      <w:r>
        <w:rPr>
          <w:rFonts w:ascii="Times New Roman" w:hAnsi="Times New Roman" w:cs="Times New Roman"/>
          <w:sz w:val="24"/>
          <w:szCs w:val="24"/>
        </w:rPr>
        <w:t xml:space="preserve"> и 202</w:t>
      </w:r>
      <w:r w:rsidR="00F57830">
        <w:rPr>
          <w:rFonts w:ascii="Times New Roman" w:hAnsi="Times New Roman" w:cs="Times New Roman"/>
          <w:sz w:val="24"/>
          <w:szCs w:val="24"/>
        </w:rPr>
        <w:t>6</w:t>
      </w:r>
      <w:r>
        <w:rPr>
          <w:rFonts w:ascii="Times New Roman" w:hAnsi="Times New Roman" w:cs="Times New Roman"/>
          <w:sz w:val="24"/>
          <w:szCs w:val="24"/>
        </w:rPr>
        <w:t xml:space="preserve"> годов (приложение № </w:t>
      </w:r>
      <w:r w:rsidR="00AA6962">
        <w:rPr>
          <w:rFonts w:ascii="Times New Roman" w:hAnsi="Times New Roman" w:cs="Times New Roman"/>
          <w:sz w:val="24"/>
          <w:szCs w:val="24"/>
        </w:rPr>
        <w:t>8</w:t>
      </w:r>
      <w:r>
        <w:rPr>
          <w:rFonts w:ascii="Times New Roman" w:hAnsi="Times New Roman" w:cs="Times New Roman"/>
          <w:sz w:val="24"/>
          <w:szCs w:val="24"/>
        </w:rPr>
        <w:t xml:space="preserve"> к проекту решения).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Также пунктом 3 статьи </w:t>
      </w:r>
      <w:r w:rsidR="00F57830">
        <w:rPr>
          <w:rFonts w:ascii="Times New Roman" w:hAnsi="Times New Roman" w:cs="Times New Roman"/>
          <w:sz w:val="24"/>
          <w:szCs w:val="24"/>
        </w:rPr>
        <w:t>8</w:t>
      </w:r>
      <w:r>
        <w:rPr>
          <w:rFonts w:ascii="Times New Roman" w:hAnsi="Times New Roman" w:cs="Times New Roman"/>
          <w:sz w:val="24"/>
          <w:szCs w:val="24"/>
        </w:rPr>
        <w:t xml:space="preserve"> проекта решения установлено, что в 202</w:t>
      </w:r>
      <w:r w:rsidR="00F57830">
        <w:rPr>
          <w:rFonts w:ascii="Times New Roman" w:hAnsi="Times New Roman" w:cs="Times New Roman"/>
          <w:sz w:val="24"/>
          <w:szCs w:val="24"/>
        </w:rPr>
        <w:t>4</w:t>
      </w:r>
      <w:r>
        <w:rPr>
          <w:rFonts w:ascii="Times New Roman" w:hAnsi="Times New Roman" w:cs="Times New Roman"/>
          <w:sz w:val="24"/>
          <w:szCs w:val="24"/>
        </w:rPr>
        <w:t xml:space="preserve"> году и в плановом периоде 202</w:t>
      </w:r>
      <w:r w:rsidR="00F57830">
        <w:rPr>
          <w:rFonts w:ascii="Times New Roman" w:hAnsi="Times New Roman" w:cs="Times New Roman"/>
          <w:sz w:val="24"/>
          <w:szCs w:val="24"/>
        </w:rPr>
        <w:t>5</w:t>
      </w:r>
      <w:r>
        <w:rPr>
          <w:rFonts w:ascii="Times New Roman" w:hAnsi="Times New Roman" w:cs="Times New Roman"/>
          <w:sz w:val="24"/>
          <w:szCs w:val="24"/>
        </w:rPr>
        <w:t xml:space="preserve"> и 202</w:t>
      </w:r>
      <w:r w:rsidR="00F57830">
        <w:rPr>
          <w:rFonts w:ascii="Times New Roman" w:hAnsi="Times New Roman" w:cs="Times New Roman"/>
          <w:sz w:val="24"/>
          <w:szCs w:val="24"/>
        </w:rPr>
        <w:t>6</w:t>
      </w:r>
      <w:r>
        <w:rPr>
          <w:rFonts w:ascii="Times New Roman" w:hAnsi="Times New Roman" w:cs="Times New Roman"/>
          <w:sz w:val="24"/>
          <w:szCs w:val="24"/>
        </w:rPr>
        <w:t xml:space="preserve"> годов муниципальные гарантии Полтавским городским поселением Полтавского муниципального района не предоставляются.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В статьях </w:t>
      </w:r>
      <w:r w:rsidR="00F57830">
        <w:rPr>
          <w:rFonts w:ascii="Times New Roman" w:hAnsi="Times New Roman" w:cs="Times New Roman"/>
          <w:sz w:val="24"/>
          <w:szCs w:val="24"/>
        </w:rPr>
        <w:t>9</w:t>
      </w:r>
      <w:r>
        <w:rPr>
          <w:rFonts w:ascii="Times New Roman" w:hAnsi="Times New Roman" w:cs="Times New Roman"/>
          <w:sz w:val="24"/>
          <w:szCs w:val="24"/>
        </w:rPr>
        <w:t xml:space="preserve"> – 1</w:t>
      </w:r>
      <w:r w:rsidR="00F57830">
        <w:rPr>
          <w:rFonts w:ascii="Times New Roman" w:hAnsi="Times New Roman" w:cs="Times New Roman"/>
          <w:sz w:val="24"/>
          <w:szCs w:val="24"/>
        </w:rPr>
        <w:t>0</w:t>
      </w:r>
      <w:r>
        <w:rPr>
          <w:rFonts w:ascii="Times New Roman" w:hAnsi="Times New Roman" w:cs="Times New Roman"/>
          <w:sz w:val="24"/>
          <w:szCs w:val="24"/>
        </w:rPr>
        <w:t xml:space="preserve"> проекта решения в соответствии со статьей 215.1 БК РФ предусматриваются:</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особенности погашения кредиторской задолженности главных распорядителей средств местного бюджета;</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положения по авансированию расходных обязательств получателей средств местного бюджета;</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особенности обслуживания лицевых счетов получателей средств местного бюджета, а также возможность временного использования поступающих во временное распоряжение получателей средств местного бюджета средств в целях повышения ликвидности единого счета местного бюджета.</w:t>
      </w:r>
    </w:p>
    <w:p w:rsidR="007039C9" w:rsidRDefault="003F6358">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Статьей 11 проекта решения в соответствии со статьей 5 БК РФ</w:t>
      </w:r>
      <w:r>
        <w:rPr>
          <w:rFonts w:ascii="Times New Roman" w:hAnsi="Times New Roman" w:cs="Times New Roman"/>
          <w:color w:val="000000"/>
          <w:sz w:val="24"/>
          <w:szCs w:val="24"/>
        </w:rPr>
        <w:t>, пунктом</w:t>
      </w:r>
      <w:r>
        <w:rPr>
          <w:rFonts w:ascii="Times New Roman" w:hAnsi="Times New Roman" w:cs="Times New Roman"/>
          <w:color w:val="FF0000"/>
          <w:sz w:val="24"/>
          <w:szCs w:val="24"/>
        </w:rPr>
        <w:t> </w:t>
      </w:r>
      <w:r w:rsidR="00AA6962">
        <w:rPr>
          <w:rFonts w:ascii="Times New Roman" w:hAnsi="Times New Roman" w:cs="Times New Roman"/>
          <w:color w:val="000000"/>
          <w:sz w:val="24"/>
          <w:szCs w:val="24"/>
        </w:rPr>
        <w:t>5 статьи 13</w:t>
      </w:r>
      <w:r>
        <w:rPr>
          <w:rFonts w:ascii="Times New Roman" w:hAnsi="Times New Roman" w:cs="Times New Roman"/>
          <w:color w:val="000000"/>
          <w:sz w:val="24"/>
          <w:szCs w:val="24"/>
        </w:rPr>
        <w:t xml:space="preserve"> Положения</w:t>
      </w:r>
      <w:r>
        <w:rPr>
          <w:rFonts w:ascii="Times New Roman" w:hAnsi="Times New Roman" w:cs="Times New Roman"/>
          <w:sz w:val="24"/>
          <w:szCs w:val="24"/>
        </w:rPr>
        <w:t xml:space="preserve"> о бюджетном процессе предусматривает, что решение Полтавского городского поселения Полтавского муниципального района о местном бюджете вступает в силу с 1 января 202</w:t>
      </w:r>
      <w:r w:rsidR="00F57830">
        <w:rPr>
          <w:rFonts w:ascii="Times New Roman" w:hAnsi="Times New Roman" w:cs="Times New Roman"/>
          <w:sz w:val="24"/>
          <w:szCs w:val="24"/>
        </w:rPr>
        <w:t>4</w:t>
      </w:r>
      <w:r>
        <w:rPr>
          <w:rFonts w:ascii="Times New Roman" w:hAnsi="Times New Roman" w:cs="Times New Roman"/>
          <w:sz w:val="24"/>
          <w:szCs w:val="24"/>
        </w:rPr>
        <w:t xml:space="preserve"> года и действует по 31 декабря 202</w:t>
      </w:r>
      <w:r w:rsidR="00F57830">
        <w:rPr>
          <w:rFonts w:ascii="Times New Roman" w:hAnsi="Times New Roman" w:cs="Times New Roman"/>
          <w:sz w:val="24"/>
          <w:szCs w:val="24"/>
        </w:rPr>
        <w:t>4</w:t>
      </w:r>
      <w:r>
        <w:rPr>
          <w:rFonts w:ascii="Times New Roman" w:hAnsi="Times New Roman" w:cs="Times New Roman"/>
          <w:sz w:val="24"/>
          <w:szCs w:val="24"/>
        </w:rPr>
        <w:t xml:space="preserve"> года. </w:t>
      </w:r>
    </w:p>
    <w:p w:rsidR="007039C9" w:rsidRDefault="003F6358">
      <w:pPr>
        <w:ind w:firstLine="709"/>
        <w:jc w:val="both"/>
        <w:outlineLvl w:val="1"/>
        <w:rPr>
          <w:rFonts w:ascii="Times New Roman" w:hAnsi="Times New Roman" w:cs="Times New Roman"/>
          <w:sz w:val="24"/>
          <w:szCs w:val="24"/>
        </w:rPr>
      </w:pPr>
      <w:r>
        <w:rPr>
          <w:rFonts w:ascii="Times New Roman" w:hAnsi="Times New Roman" w:cs="Times New Roman"/>
          <w:sz w:val="24"/>
          <w:szCs w:val="24"/>
        </w:rPr>
        <w:t>Показатели расходов бюджета поселения на 202</w:t>
      </w:r>
      <w:r w:rsidR="00F57830">
        <w:rPr>
          <w:rFonts w:ascii="Times New Roman" w:hAnsi="Times New Roman" w:cs="Times New Roman"/>
          <w:sz w:val="24"/>
          <w:szCs w:val="24"/>
        </w:rPr>
        <w:t>4</w:t>
      </w:r>
      <w:r>
        <w:rPr>
          <w:rFonts w:ascii="Times New Roman" w:hAnsi="Times New Roman" w:cs="Times New Roman"/>
          <w:sz w:val="24"/>
          <w:szCs w:val="24"/>
        </w:rPr>
        <w:t>–202</w:t>
      </w:r>
      <w:r w:rsidR="00F57830">
        <w:rPr>
          <w:rFonts w:ascii="Times New Roman" w:hAnsi="Times New Roman" w:cs="Times New Roman"/>
          <w:sz w:val="24"/>
          <w:szCs w:val="24"/>
        </w:rPr>
        <w:t>6</w:t>
      </w:r>
      <w:r>
        <w:rPr>
          <w:rFonts w:ascii="Times New Roman" w:hAnsi="Times New Roman" w:cs="Times New Roman"/>
          <w:sz w:val="24"/>
          <w:szCs w:val="24"/>
        </w:rPr>
        <w:t> годы сформированы в виде абсолютных величин, что позволит обеспечить сопоставление бюджетных ассигнований проекта решения с бюджетными ассигнованиями бюджета поселения текущего финансового года.</w:t>
      </w:r>
    </w:p>
    <w:p w:rsidR="007039C9" w:rsidRDefault="00F57830">
      <w:pPr>
        <w:pStyle w:val="Default"/>
        <w:ind w:firstLine="709"/>
        <w:jc w:val="center"/>
        <w:rPr>
          <w:b/>
          <w:bCs/>
          <w:color w:val="auto"/>
        </w:rPr>
      </w:pPr>
      <w:r>
        <w:rPr>
          <w:b/>
          <w:bCs/>
          <w:color w:val="auto"/>
        </w:rPr>
        <w:t>2.2</w:t>
      </w:r>
      <w:r w:rsidR="003F6358">
        <w:rPr>
          <w:b/>
          <w:bCs/>
          <w:color w:val="auto"/>
        </w:rPr>
        <w:t>. Анализ перечня и содержания документов, представленных одновременно</w:t>
      </w:r>
    </w:p>
    <w:p w:rsidR="007039C9" w:rsidRDefault="003F6358">
      <w:pPr>
        <w:pStyle w:val="Default"/>
        <w:ind w:firstLine="709"/>
        <w:jc w:val="center"/>
        <w:rPr>
          <w:b/>
          <w:bCs/>
          <w:color w:val="auto"/>
        </w:rPr>
      </w:pPr>
      <w:r>
        <w:rPr>
          <w:b/>
          <w:bCs/>
          <w:color w:val="auto"/>
        </w:rPr>
        <w:t>с проектом бюджета на 202</w:t>
      </w:r>
      <w:r w:rsidR="00E820BF">
        <w:rPr>
          <w:b/>
          <w:bCs/>
          <w:color w:val="auto"/>
        </w:rPr>
        <w:t>4</w:t>
      </w:r>
      <w:r>
        <w:rPr>
          <w:b/>
          <w:bCs/>
          <w:color w:val="auto"/>
        </w:rPr>
        <w:t xml:space="preserve"> год </w:t>
      </w:r>
      <w:r>
        <w:rPr>
          <w:b/>
          <w:color w:val="auto"/>
        </w:rPr>
        <w:t>и на плановый период 202</w:t>
      </w:r>
      <w:r w:rsidR="00E820BF">
        <w:rPr>
          <w:b/>
          <w:color w:val="auto"/>
        </w:rPr>
        <w:t>5</w:t>
      </w:r>
      <w:r>
        <w:rPr>
          <w:b/>
          <w:color w:val="auto"/>
        </w:rPr>
        <w:t xml:space="preserve"> и 202</w:t>
      </w:r>
      <w:r w:rsidR="00E820BF">
        <w:rPr>
          <w:b/>
          <w:color w:val="auto"/>
        </w:rPr>
        <w:t>6</w:t>
      </w:r>
      <w:r>
        <w:rPr>
          <w:b/>
          <w:color w:val="auto"/>
        </w:rPr>
        <w:t xml:space="preserve"> годов</w:t>
      </w:r>
      <w:r>
        <w:rPr>
          <w:b/>
          <w:bCs/>
          <w:color w:val="auto"/>
        </w:rPr>
        <w:t>.</w:t>
      </w:r>
    </w:p>
    <w:p w:rsidR="007039C9" w:rsidRDefault="007039C9">
      <w:pPr>
        <w:pStyle w:val="Default"/>
        <w:ind w:firstLine="709"/>
        <w:jc w:val="center"/>
        <w:rPr>
          <w:color w:val="auto"/>
        </w:rPr>
      </w:pPr>
    </w:p>
    <w:p w:rsidR="007039C9" w:rsidRDefault="003F6358">
      <w:pPr>
        <w:pStyle w:val="Default"/>
        <w:ind w:firstLine="709"/>
        <w:jc w:val="both"/>
        <w:rPr>
          <w:color w:val="auto"/>
        </w:rPr>
      </w:pPr>
      <w:r>
        <w:rPr>
          <w:color w:val="auto"/>
        </w:rPr>
        <w:t xml:space="preserve">Перечень, содержание документов и материалов, которые в соответствии со ст. 184.2 БК РФ, ст.10 Положения о бюджетном процессе в </w:t>
      </w:r>
      <w:r>
        <w:rPr>
          <w:rFonts w:eastAsiaTheme="minorHAnsi"/>
          <w:color w:val="auto"/>
          <w:lang w:eastAsia="en-US"/>
        </w:rPr>
        <w:t>Полтавском городском</w:t>
      </w:r>
      <w:r>
        <w:rPr>
          <w:color w:val="auto"/>
        </w:rPr>
        <w:t xml:space="preserve"> поселении должны представляться одновременно с проектом бюджета, соответствуют требованиям бюджетного законодательства. </w:t>
      </w:r>
    </w:p>
    <w:p w:rsidR="007039C9" w:rsidRDefault="003F6358">
      <w:pPr>
        <w:pStyle w:val="Default"/>
        <w:ind w:firstLine="709"/>
        <w:jc w:val="both"/>
        <w:rPr>
          <w:color w:val="auto"/>
        </w:rPr>
      </w:pPr>
      <w:r w:rsidRPr="00B3258D">
        <w:rPr>
          <w:b/>
          <w:color w:val="auto"/>
        </w:rPr>
        <w:t>Основные направления бюджетной и налоговой политики</w:t>
      </w:r>
      <w:r>
        <w:rPr>
          <w:color w:val="auto"/>
        </w:rPr>
        <w:t xml:space="preserve"> муниципального образования на 202</w:t>
      </w:r>
      <w:r w:rsidR="00E820BF">
        <w:rPr>
          <w:color w:val="auto"/>
        </w:rPr>
        <w:t>4</w:t>
      </w:r>
      <w:r>
        <w:rPr>
          <w:color w:val="auto"/>
        </w:rPr>
        <w:t xml:space="preserve"> год и на плановый период 202</w:t>
      </w:r>
      <w:r w:rsidR="00E820BF">
        <w:rPr>
          <w:color w:val="auto"/>
        </w:rPr>
        <w:t>5</w:t>
      </w:r>
      <w:r>
        <w:rPr>
          <w:color w:val="auto"/>
        </w:rPr>
        <w:t xml:space="preserve"> и 202</w:t>
      </w:r>
      <w:r w:rsidR="00E820BF">
        <w:rPr>
          <w:color w:val="auto"/>
        </w:rPr>
        <w:t>6</w:t>
      </w:r>
      <w:r>
        <w:rPr>
          <w:color w:val="auto"/>
        </w:rPr>
        <w:t xml:space="preserve"> годов утверждены распоряжением администрации.</w:t>
      </w:r>
    </w:p>
    <w:p w:rsidR="007039C9" w:rsidRDefault="003F6358">
      <w:pPr>
        <w:pStyle w:val="Default"/>
        <w:ind w:firstLine="709"/>
        <w:jc w:val="both"/>
        <w:rPr>
          <w:color w:val="auto"/>
        </w:rPr>
      </w:pPr>
      <w:r>
        <w:rPr>
          <w:color w:val="auto"/>
        </w:rPr>
        <w:t>Как следует из Основных направлений, бюджетной и  налоговой политики основной целью является сбалансированность и устойчивость бюджета, а также обеспечение прозрачности и открытости бюджетного планирования.</w:t>
      </w:r>
    </w:p>
    <w:p w:rsidR="007039C9" w:rsidRDefault="003F6358">
      <w:pPr>
        <w:pStyle w:val="Default"/>
        <w:ind w:firstLine="709"/>
        <w:jc w:val="both"/>
        <w:rPr>
          <w:color w:val="auto"/>
        </w:rPr>
      </w:pPr>
      <w:r>
        <w:rPr>
          <w:color w:val="auto"/>
        </w:rPr>
        <w:lastRenderedPageBreak/>
        <w:t>Основными задачами налоговой  политики мун</w:t>
      </w:r>
      <w:r w:rsidR="00E820BF">
        <w:rPr>
          <w:color w:val="auto"/>
        </w:rPr>
        <w:t>иципального образования  на 2024</w:t>
      </w:r>
      <w:r>
        <w:rPr>
          <w:color w:val="auto"/>
        </w:rPr>
        <w:t>-202</w:t>
      </w:r>
      <w:r w:rsidR="00E820BF">
        <w:rPr>
          <w:color w:val="auto"/>
        </w:rPr>
        <w:t>6</w:t>
      </w:r>
      <w:r>
        <w:rPr>
          <w:color w:val="auto"/>
        </w:rPr>
        <w:t xml:space="preserve"> годы  являются, обеспечение сбалансированности и устойчивости местного бюджета, обеспечение стабильности поступления доходов бюджет района, поддержка предпринимательской активности, совершенствование налогового администрирования и поддержание сбалансированности бюджета </w:t>
      </w:r>
      <w:r w:rsidR="00E820BF">
        <w:rPr>
          <w:color w:val="auto"/>
        </w:rPr>
        <w:t>поселения</w:t>
      </w:r>
      <w:r>
        <w:rPr>
          <w:color w:val="auto"/>
        </w:rPr>
        <w:t>.</w:t>
      </w:r>
    </w:p>
    <w:p w:rsidR="007039C9" w:rsidRDefault="003F6358">
      <w:pPr>
        <w:pStyle w:val="Default"/>
        <w:ind w:firstLine="709"/>
        <w:jc w:val="both"/>
        <w:rPr>
          <w:color w:val="auto"/>
        </w:rPr>
      </w:pPr>
      <w:r>
        <w:rPr>
          <w:color w:val="auto"/>
        </w:rPr>
        <w:t xml:space="preserve">В соответствии со ст.169 БК РФ, проект бюджета составляется на основе </w:t>
      </w:r>
      <w:r w:rsidRPr="00B3258D">
        <w:rPr>
          <w:b/>
          <w:color w:val="auto"/>
        </w:rPr>
        <w:t xml:space="preserve">прогноза социально-экономического развития </w:t>
      </w:r>
      <w:r>
        <w:rPr>
          <w:color w:val="auto"/>
        </w:rPr>
        <w:t>в целях финансового обеспечения расходных обязательств. Надежность показателей прогноза социально-экономического развития является важнейшей составляющей принципа достоверности бюджета, определенного ст</w:t>
      </w:r>
      <w:r w:rsidR="00E820BF">
        <w:rPr>
          <w:color w:val="auto"/>
        </w:rPr>
        <w:t xml:space="preserve">атьей </w:t>
      </w:r>
      <w:r>
        <w:rPr>
          <w:color w:val="auto"/>
        </w:rPr>
        <w:t>37 БК РФ.</w:t>
      </w:r>
    </w:p>
    <w:p w:rsidR="007039C9" w:rsidRDefault="003F6358">
      <w:pPr>
        <w:pStyle w:val="Default"/>
        <w:ind w:firstLine="709"/>
        <w:jc w:val="both"/>
      </w:pPr>
      <w:r>
        <w:rPr>
          <w:color w:val="auto"/>
        </w:rPr>
        <w:t>Согласно п</w:t>
      </w:r>
      <w:r w:rsidR="00E820BF">
        <w:rPr>
          <w:color w:val="auto"/>
        </w:rPr>
        <w:t xml:space="preserve">ункта </w:t>
      </w:r>
      <w:r>
        <w:rPr>
          <w:color w:val="auto"/>
        </w:rPr>
        <w:t>2 ст</w:t>
      </w:r>
      <w:r w:rsidR="00E820BF">
        <w:rPr>
          <w:color w:val="auto"/>
        </w:rPr>
        <w:t xml:space="preserve">атьи </w:t>
      </w:r>
      <w:r>
        <w:rPr>
          <w:color w:val="auto"/>
        </w:rPr>
        <w:t xml:space="preserve">173 БК РФ прогноз социально-экономического развития муниципального образования ежегодно разрабатывается в порядке, установленном местной администрацией. </w:t>
      </w:r>
      <w:r>
        <w:t>Прогноз социально-экономического развития поселения на 202</w:t>
      </w:r>
      <w:r w:rsidR="00E820BF">
        <w:t>4</w:t>
      </w:r>
      <w:r>
        <w:t>–202</w:t>
      </w:r>
      <w:r w:rsidR="00E820BF">
        <w:t>6</w:t>
      </w:r>
      <w:r>
        <w:t xml:space="preserve"> годы  одобрен распоряжением администрации </w:t>
      </w:r>
      <w:r>
        <w:rPr>
          <w:rFonts w:eastAsiaTheme="minorHAnsi"/>
          <w:color w:val="auto"/>
          <w:lang w:eastAsia="en-US"/>
        </w:rPr>
        <w:t>Полтавского городского</w:t>
      </w:r>
      <w:r w:rsidR="00E820BF">
        <w:t xml:space="preserve"> поселения от 10</w:t>
      </w:r>
      <w:r>
        <w:t>.11.202</w:t>
      </w:r>
      <w:r w:rsidR="00E820BF">
        <w:t>3</w:t>
      </w:r>
      <w:r>
        <w:t xml:space="preserve"> г. (далее – Прогноз), что соответствует п. 3 ст. 173 БК РФ, и ст.  Положения о бюджетном процессе согласно которым прогноз одобряется одновременно с принятием решения о внесении проекта бюджета в представительный орган.</w:t>
      </w:r>
    </w:p>
    <w:p w:rsidR="007039C9" w:rsidRDefault="003F6358">
      <w:pPr>
        <w:pStyle w:val="Default"/>
        <w:ind w:firstLine="709"/>
        <w:jc w:val="both"/>
        <w:rPr>
          <w:color w:val="auto"/>
        </w:rPr>
      </w:pPr>
      <w:r>
        <w:rPr>
          <w:color w:val="auto"/>
        </w:rPr>
        <w:t xml:space="preserve">Прогноз социально-экономического развития представлен в двух вариантах. В пояснительной записке, представленной одновременно с прогнозом,  определено, что варианты прогноза определяются в соответствии со сценарными условиями социально-экономического развития на очередной финансовый год и плановый период. Первый вариант прогноза отражает более низкие темпы развития экономики и социальной сферы. </w:t>
      </w:r>
    </w:p>
    <w:p w:rsidR="007039C9" w:rsidRDefault="003F6358">
      <w:pPr>
        <w:pStyle w:val="Default"/>
        <w:ind w:firstLine="709"/>
        <w:jc w:val="both"/>
        <w:rPr>
          <w:color w:val="auto"/>
        </w:rPr>
      </w:pPr>
      <w:r>
        <w:rPr>
          <w:color w:val="auto"/>
        </w:rPr>
        <w:t xml:space="preserve">При формировании проекта местного бюджета используется базовый вариант прогноза, с учетом положений Основных направлений бюджетной и налоговой политики, Бюджетного прогноза на долгосрочный период до 2028 года, мероприятий муниципальных программ. </w:t>
      </w:r>
    </w:p>
    <w:p w:rsidR="00E820BF" w:rsidRDefault="00E820BF" w:rsidP="00E820BF">
      <w:pPr>
        <w:pStyle w:val="Default"/>
        <w:ind w:firstLine="567"/>
        <w:jc w:val="both"/>
        <w:rPr>
          <w:color w:val="auto"/>
        </w:rPr>
      </w:pPr>
      <w:r>
        <w:rPr>
          <w:color w:val="auto"/>
        </w:rPr>
        <w:t xml:space="preserve">Анализ Пояснительной записки к прогнозу социально-экономического развития Полтавского городского поселения на очередной финансовый год 2024 год и плановый период 2025 и 2026 годов выявил несоблюдение требований пункта 4 статьи 173 Бюджетного кодекса, в части не приведения сопоставления показателей 2024 и 2025 годов с ранее утвержденными показателями. </w:t>
      </w:r>
    </w:p>
    <w:p w:rsidR="00A8573C" w:rsidRDefault="00A8573C" w:rsidP="00E820BF">
      <w:pPr>
        <w:pStyle w:val="Default"/>
        <w:ind w:firstLine="567"/>
        <w:jc w:val="both"/>
        <w:rPr>
          <w:color w:val="auto"/>
        </w:rPr>
      </w:pPr>
      <w:r>
        <w:rPr>
          <w:color w:val="auto"/>
        </w:rPr>
        <w:t>В нарушение Порядка разработки прогноза социально-экономического развития Полтавского городского поселения (утвержденного Постановлением администрации 21.10.2021 №118) представленный прогноз не содержит динамику (анализ) основных показатели прогноза «оборот розничной торговли» и «среднемесячная номинальная начисленная заработная плата работников крупных и средних предприятий и некоммерческих организаций»</w:t>
      </w:r>
    </w:p>
    <w:p w:rsidR="007039C9" w:rsidRDefault="003F6358">
      <w:pPr>
        <w:pStyle w:val="Default"/>
        <w:ind w:firstLine="709"/>
        <w:jc w:val="both"/>
        <w:rPr>
          <w:color w:val="auto"/>
        </w:rPr>
      </w:pPr>
      <w:r>
        <w:rPr>
          <w:color w:val="auto"/>
        </w:rPr>
        <w:t xml:space="preserve">Согласно </w:t>
      </w:r>
      <w:r w:rsidRPr="00B3258D">
        <w:rPr>
          <w:b/>
          <w:color w:val="auto"/>
        </w:rPr>
        <w:t>Оценке ожидаемого исполнения бюджета</w:t>
      </w:r>
      <w:r>
        <w:rPr>
          <w:color w:val="auto"/>
        </w:rPr>
        <w:t xml:space="preserve"> поселения по итогам 202</w:t>
      </w:r>
      <w:r w:rsidR="00E820BF">
        <w:rPr>
          <w:color w:val="auto"/>
        </w:rPr>
        <w:t>3</w:t>
      </w:r>
      <w:r>
        <w:rPr>
          <w:color w:val="auto"/>
        </w:rPr>
        <w:t xml:space="preserve"> года исполнение доходной и расходной частей бюджета предусмотрено в пределах показателей уточненного пл</w:t>
      </w:r>
      <w:r w:rsidR="00E820BF">
        <w:rPr>
          <w:color w:val="auto"/>
        </w:rPr>
        <w:t>анового значения бюджета на 2023</w:t>
      </w:r>
      <w:r>
        <w:rPr>
          <w:color w:val="auto"/>
        </w:rPr>
        <w:t xml:space="preserve"> год.</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Рассмотрев направленный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контрольно-счетный орган муниципального образования отмечает следующее.</w:t>
      </w:r>
    </w:p>
    <w:p w:rsidR="007039C9" w:rsidRDefault="007039C9">
      <w:pPr>
        <w:tabs>
          <w:tab w:val="left" w:pos="567"/>
        </w:tabs>
        <w:spacing w:after="0" w:line="240" w:lineRule="auto"/>
        <w:ind w:firstLine="709"/>
        <w:jc w:val="both"/>
        <w:rPr>
          <w:rFonts w:ascii="Times New Roman" w:hAnsi="Times New Roman" w:cs="Times New Roman"/>
          <w:sz w:val="24"/>
          <w:szCs w:val="24"/>
        </w:rPr>
      </w:pPr>
    </w:p>
    <w:p w:rsidR="007039C9" w:rsidRDefault="003F635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3.Основные характеристики проекта решения «О бюджете </w:t>
      </w:r>
      <w:r w:rsidR="0059692A">
        <w:rPr>
          <w:rFonts w:ascii="Times New Roman" w:hAnsi="Times New Roman" w:cs="Times New Roman"/>
          <w:b/>
          <w:sz w:val="24"/>
          <w:szCs w:val="24"/>
        </w:rPr>
        <w:t>Полтавского городского поселения</w:t>
      </w:r>
      <w:r>
        <w:rPr>
          <w:rFonts w:ascii="Times New Roman" w:hAnsi="Times New Roman" w:cs="Times New Roman"/>
          <w:b/>
          <w:sz w:val="24"/>
          <w:szCs w:val="24"/>
        </w:rPr>
        <w:t xml:space="preserve"> на 202</w:t>
      </w:r>
      <w:r w:rsidR="0059692A">
        <w:rPr>
          <w:rFonts w:ascii="Times New Roman" w:hAnsi="Times New Roman" w:cs="Times New Roman"/>
          <w:b/>
          <w:sz w:val="24"/>
          <w:szCs w:val="24"/>
        </w:rPr>
        <w:t>4</w:t>
      </w:r>
      <w:r>
        <w:rPr>
          <w:rFonts w:ascii="Times New Roman" w:hAnsi="Times New Roman" w:cs="Times New Roman"/>
          <w:b/>
          <w:sz w:val="24"/>
          <w:szCs w:val="24"/>
        </w:rPr>
        <w:t xml:space="preserve"> год и плановый период 202</w:t>
      </w:r>
      <w:r w:rsidR="0059692A">
        <w:rPr>
          <w:rFonts w:ascii="Times New Roman" w:hAnsi="Times New Roman" w:cs="Times New Roman"/>
          <w:b/>
          <w:sz w:val="24"/>
          <w:szCs w:val="24"/>
        </w:rPr>
        <w:t>5</w:t>
      </w:r>
      <w:r>
        <w:rPr>
          <w:rFonts w:ascii="Times New Roman" w:hAnsi="Times New Roman" w:cs="Times New Roman"/>
          <w:b/>
          <w:sz w:val="24"/>
          <w:szCs w:val="24"/>
        </w:rPr>
        <w:t xml:space="preserve"> и 202</w:t>
      </w:r>
      <w:r w:rsidR="0059692A">
        <w:rPr>
          <w:rFonts w:ascii="Times New Roman" w:hAnsi="Times New Roman" w:cs="Times New Roman"/>
          <w:b/>
          <w:sz w:val="24"/>
          <w:szCs w:val="24"/>
        </w:rPr>
        <w:t>6</w:t>
      </w:r>
      <w:r>
        <w:rPr>
          <w:rFonts w:ascii="Times New Roman" w:hAnsi="Times New Roman" w:cs="Times New Roman"/>
          <w:b/>
          <w:sz w:val="24"/>
          <w:szCs w:val="24"/>
        </w:rPr>
        <w:t xml:space="preserve"> годов»</w:t>
      </w:r>
    </w:p>
    <w:p w:rsidR="007039C9" w:rsidRDefault="007039C9">
      <w:pPr>
        <w:pStyle w:val="ae"/>
        <w:spacing w:after="0" w:line="240" w:lineRule="auto"/>
        <w:ind w:left="0" w:firstLine="709"/>
        <w:jc w:val="center"/>
        <w:rPr>
          <w:rFonts w:ascii="Times New Roman" w:hAnsi="Times New Roman"/>
          <w:b/>
          <w:sz w:val="24"/>
          <w:szCs w:val="24"/>
        </w:rPr>
      </w:pPr>
    </w:p>
    <w:p w:rsidR="0059692A" w:rsidRDefault="0059692A" w:rsidP="0059692A">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Проектом решения предлагается утвердить основные характеристики </w:t>
      </w:r>
      <w:r w:rsidR="00B03617">
        <w:rPr>
          <w:rFonts w:ascii="Times New Roman" w:hAnsi="Times New Roman" w:cs="Times New Roman"/>
          <w:sz w:val="24"/>
          <w:szCs w:val="24"/>
        </w:rPr>
        <w:t xml:space="preserve">местного </w:t>
      </w:r>
      <w:r>
        <w:rPr>
          <w:rFonts w:ascii="Times New Roman" w:hAnsi="Times New Roman" w:cs="Times New Roman"/>
          <w:sz w:val="24"/>
          <w:szCs w:val="24"/>
        </w:rPr>
        <w:t>бюджета на 2024 год:</w:t>
      </w:r>
    </w:p>
    <w:p w:rsidR="0059692A" w:rsidRPr="001950A0" w:rsidRDefault="0059692A" w:rsidP="0059692A">
      <w:pPr>
        <w:tabs>
          <w:tab w:val="left" w:pos="720"/>
        </w:tabs>
        <w:spacing w:after="0" w:line="240" w:lineRule="auto"/>
        <w:ind w:firstLine="709"/>
        <w:jc w:val="both"/>
        <w:rPr>
          <w:rFonts w:ascii="Times New Roman" w:hAnsi="Times New Roman" w:cs="Times New Roman"/>
          <w:sz w:val="24"/>
          <w:szCs w:val="24"/>
        </w:rPr>
      </w:pPr>
      <w:r w:rsidRPr="001950A0">
        <w:rPr>
          <w:rFonts w:ascii="Times New Roman" w:hAnsi="Times New Roman" w:cs="Times New Roman"/>
          <w:sz w:val="24"/>
          <w:szCs w:val="24"/>
        </w:rPr>
        <w:t xml:space="preserve">-общий объем доходов в сумме </w:t>
      </w:r>
      <w:r w:rsidR="00C87C48">
        <w:rPr>
          <w:rFonts w:ascii="Times New Roman" w:hAnsi="Times New Roman" w:cs="Times New Roman"/>
          <w:sz w:val="24"/>
          <w:szCs w:val="24"/>
        </w:rPr>
        <w:t>37 510 338,70</w:t>
      </w:r>
      <w:r w:rsidRPr="001950A0">
        <w:rPr>
          <w:rFonts w:ascii="Times New Roman" w:hAnsi="Times New Roman" w:cs="Times New Roman"/>
          <w:sz w:val="24"/>
          <w:szCs w:val="24"/>
        </w:rPr>
        <w:t xml:space="preserve"> рублей или </w:t>
      </w:r>
      <w:r w:rsidR="00C87C48">
        <w:rPr>
          <w:rFonts w:ascii="Times New Roman" w:hAnsi="Times New Roman" w:cs="Times New Roman"/>
          <w:sz w:val="24"/>
          <w:szCs w:val="24"/>
        </w:rPr>
        <w:t>72,87</w:t>
      </w:r>
      <w:r w:rsidRPr="001950A0">
        <w:rPr>
          <w:rFonts w:ascii="Times New Roman" w:hAnsi="Times New Roman" w:cs="Times New Roman"/>
          <w:sz w:val="24"/>
          <w:szCs w:val="24"/>
        </w:rPr>
        <w:t xml:space="preserve">% к уровню доходов 2023 года, предусмотренных решением Совета от </w:t>
      </w:r>
      <w:r w:rsidR="00C87C48">
        <w:rPr>
          <w:rFonts w:ascii="Times New Roman" w:hAnsi="Times New Roman" w:cs="Times New Roman"/>
          <w:sz w:val="24"/>
          <w:szCs w:val="24"/>
        </w:rPr>
        <w:t>30</w:t>
      </w:r>
      <w:r w:rsidRPr="001950A0">
        <w:rPr>
          <w:rFonts w:ascii="Times New Roman" w:hAnsi="Times New Roman" w:cs="Times New Roman"/>
          <w:sz w:val="24"/>
          <w:szCs w:val="24"/>
        </w:rPr>
        <w:t>.1</w:t>
      </w:r>
      <w:r w:rsidR="00C87C48">
        <w:rPr>
          <w:rFonts w:ascii="Times New Roman" w:hAnsi="Times New Roman" w:cs="Times New Roman"/>
          <w:sz w:val="24"/>
          <w:szCs w:val="24"/>
        </w:rPr>
        <w:t>1</w:t>
      </w:r>
      <w:r w:rsidRPr="001950A0">
        <w:rPr>
          <w:rFonts w:ascii="Times New Roman" w:hAnsi="Times New Roman" w:cs="Times New Roman"/>
          <w:sz w:val="24"/>
          <w:szCs w:val="24"/>
        </w:rPr>
        <w:t>.2022 года №</w:t>
      </w:r>
      <w:r w:rsidR="00C87C48">
        <w:rPr>
          <w:rFonts w:ascii="Times New Roman" w:hAnsi="Times New Roman" w:cs="Times New Roman"/>
          <w:sz w:val="24"/>
          <w:szCs w:val="24"/>
        </w:rPr>
        <w:t>67</w:t>
      </w:r>
      <w:r w:rsidRPr="001950A0">
        <w:rPr>
          <w:rFonts w:ascii="Times New Roman" w:hAnsi="Times New Roman" w:cs="Times New Roman"/>
          <w:sz w:val="24"/>
          <w:szCs w:val="24"/>
        </w:rPr>
        <w:t xml:space="preserve"> «О бюджете </w:t>
      </w:r>
      <w:r w:rsidR="00C87C48">
        <w:rPr>
          <w:rFonts w:ascii="Times New Roman" w:hAnsi="Times New Roman" w:cs="Times New Roman"/>
          <w:sz w:val="24"/>
          <w:szCs w:val="24"/>
        </w:rPr>
        <w:lastRenderedPageBreak/>
        <w:t>Полтавского городского поселения</w:t>
      </w:r>
      <w:r w:rsidRPr="001950A0">
        <w:rPr>
          <w:rFonts w:ascii="Times New Roman" w:hAnsi="Times New Roman" w:cs="Times New Roman"/>
          <w:sz w:val="24"/>
          <w:szCs w:val="24"/>
        </w:rPr>
        <w:t xml:space="preserve"> на 202</w:t>
      </w:r>
      <w:r w:rsidR="00C87C48">
        <w:rPr>
          <w:rFonts w:ascii="Times New Roman" w:hAnsi="Times New Roman" w:cs="Times New Roman"/>
          <w:sz w:val="24"/>
          <w:szCs w:val="24"/>
        </w:rPr>
        <w:t>4</w:t>
      </w:r>
      <w:r w:rsidRPr="001950A0">
        <w:rPr>
          <w:rFonts w:ascii="Times New Roman" w:hAnsi="Times New Roman" w:cs="Times New Roman"/>
          <w:sz w:val="24"/>
          <w:szCs w:val="24"/>
        </w:rPr>
        <w:t xml:space="preserve"> год и плановый период 202</w:t>
      </w:r>
      <w:r w:rsidR="00C87C48">
        <w:rPr>
          <w:rFonts w:ascii="Times New Roman" w:hAnsi="Times New Roman" w:cs="Times New Roman"/>
          <w:sz w:val="24"/>
          <w:szCs w:val="24"/>
        </w:rPr>
        <w:t>5</w:t>
      </w:r>
      <w:r w:rsidRPr="001950A0">
        <w:rPr>
          <w:rFonts w:ascii="Times New Roman" w:hAnsi="Times New Roman" w:cs="Times New Roman"/>
          <w:sz w:val="24"/>
          <w:szCs w:val="24"/>
        </w:rPr>
        <w:t xml:space="preserve"> и 202</w:t>
      </w:r>
      <w:r w:rsidR="00C87C48">
        <w:rPr>
          <w:rFonts w:ascii="Times New Roman" w:hAnsi="Times New Roman" w:cs="Times New Roman"/>
          <w:sz w:val="24"/>
          <w:szCs w:val="24"/>
        </w:rPr>
        <w:t>6</w:t>
      </w:r>
      <w:r w:rsidRPr="001950A0">
        <w:rPr>
          <w:rFonts w:ascii="Times New Roman" w:hAnsi="Times New Roman" w:cs="Times New Roman"/>
          <w:sz w:val="24"/>
          <w:szCs w:val="24"/>
        </w:rPr>
        <w:t xml:space="preserve"> годов» (в редакции решения от 2</w:t>
      </w:r>
      <w:r w:rsidR="00C87C48">
        <w:rPr>
          <w:rFonts w:ascii="Times New Roman" w:hAnsi="Times New Roman" w:cs="Times New Roman"/>
          <w:sz w:val="24"/>
          <w:szCs w:val="24"/>
        </w:rPr>
        <w:t>9</w:t>
      </w:r>
      <w:r w:rsidRPr="001950A0">
        <w:rPr>
          <w:rFonts w:ascii="Times New Roman" w:hAnsi="Times New Roman" w:cs="Times New Roman"/>
          <w:sz w:val="24"/>
          <w:szCs w:val="24"/>
        </w:rPr>
        <w:t>.09.2023г №</w:t>
      </w:r>
      <w:r w:rsidR="00C87C48">
        <w:rPr>
          <w:rFonts w:ascii="Times New Roman" w:hAnsi="Times New Roman" w:cs="Times New Roman"/>
          <w:sz w:val="24"/>
          <w:szCs w:val="24"/>
        </w:rPr>
        <w:t>63</w:t>
      </w:r>
      <w:r w:rsidRPr="001950A0">
        <w:rPr>
          <w:rFonts w:ascii="Times New Roman" w:hAnsi="Times New Roman" w:cs="Times New Roman"/>
          <w:sz w:val="24"/>
          <w:szCs w:val="24"/>
        </w:rPr>
        <w:t>) (далее решение о районном бюджете в уточненной редакции);</w:t>
      </w:r>
    </w:p>
    <w:p w:rsidR="0059692A" w:rsidRPr="001950A0" w:rsidRDefault="0059692A" w:rsidP="0059692A">
      <w:pPr>
        <w:tabs>
          <w:tab w:val="left" w:pos="720"/>
        </w:tabs>
        <w:spacing w:after="0" w:line="240" w:lineRule="auto"/>
        <w:ind w:firstLine="709"/>
        <w:jc w:val="both"/>
        <w:rPr>
          <w:rFonts w:ascii="Times New Roman" w:hAnsi="Times New Roman" w:cs="Times New Roman"/>
          <w:sz w:val="24"/>
          <w:szCs w:val="24"/>
        </w:rPr>
      </w:pPr>
      <w:r w:rsidRPr="001950A0">
        <w:rPr>
          <w:rFonts w:ascii="Times New Roman" w:hAnsi="Times New Roman" w:cs="Times New Roman"/>
          <w:sz w:val="24"/>
          <w:szCs w:val="24"/>
        </w:rPr>
        <w:t xml:space="preserve">- общий объем расходов в сумме </w:t>
      </w:r>
      <w:r w:rsidR="00C87C48">
        <w:rPr>
          <w:rFonts w:ascii="Times New Roman" w:hAnsi="Times New Roman" w:cs="Times New Roman"/>
          <w:sz w:val="24"/>
          <w:szCs w:val="24"/>
        </w:rPr>
        <w:t>37 510 338,70</w:t>
      </w:r>
      <w:r w:rsidRPr="001950A0">
        <w:rPr>
          <w:rFonts w:ascii="Times New Roman" w:hAnsi="Times New Roman" w:cs="Times New Roman"/>
          <w:sz w:val="24"/>
          <w:szCs w:val="24"/>
        </w:rPr>
        <w:t xml:space="preserve"> рублей, или </w:t>
      </w:r>
      <w:r w:rsidR="00C87C48">
        <w:rPr>
          <w:rFonts w:ascii="Times New Roman" w:hAnsi="Times New Roman" w:cs="Times New Roman"/>
          <w:sz w:val="24"/>
          <w:szCs w:val="24"/>
        </w:rPr>
        <w:t>70,87</w:t>
      </w:r>
      <w:r w:rsidRPr="001950A0">
        <w:rPr>
          <w:rFonts w:ascii="Times New Roman" w:hAnsi="Times New Roman" w:cs="Times New Roman"/>
          <w:sz w:val="24"/>
          <w:szCs w:val="24"/>
        </w:rPr>
        <w:t>% к уточненной редакции 2023 года;</w:t>
      </w:r>
    </w:p>
    <w:p w:rsidR="0059692A" w:rsidRDefault="0059692A" w:rsidP="0059692A">
      <w:pPr>
        <w:tabs>
          <w:tab w:val="left" w:pos="720"/>
        </w:tabs>
        <w:spacing w:after="0" w:line="240" w:lineRule="auto"/>
        <w:ind w:firstLine="709"/>
        <w:jc w:val="both"/>
        <w:rPr>
          <w:rFonts w:ascii="Times New Roman" w:hAnsi="Times New Roman" w:cs="Times New Roman"/>
          <w:sz w:val="24"/>
          <w:szCs w:val="24"/>
        </w:rPr>
      </w:pPr>
      <w:r w:rsidRPr="001950A0">
        <w:rPr>
          <w:rFonts w:ascii="Times New Roman" w:hAnsi="Times New Roman" w:cs="Times New Roman"/>
          <w:sz w:val="24"/>
          <w:szCs w:val="24"/>
        </w:rPr>
        <w:t xml:space="preserve">-профицит </w:t>
      </w:r>
      <w:r w:rsidR="00332CC5">
        <w:rPr>
          <w:rFonts w:ascii="Times New Roman" w:hAnsi="Times New Roman" w:cs="Times New Roman"/>
          <w:sz w:val="24"/>
          <w:szCs w:val="24"/>
        </w:rPr>
        <w:t>(дефицит) мест</w:t>
      </w:r>
      <w:r w:rsidRPr="001950A0">
        <w:rPr>
          <w:rFonts w:ascii="Times New Roman" w:hAnsi="Times New Roman" w:cs="Times New Roman"/>
          <w:sz w:val="24"/>
          <w:szCs w:val="24"/>
        </w:rPr>
        <w:t>ного бюджета в сумме 0,00 рублей.</w:t>
      </w:r>
    </w:p>
    <w:p w:rsidR="0059692A" w:rsidRDefault="0059692A" w:rsidP="0059692A">
      <w:pPr>
        <w:pStyle w:val="Default"/>
        <w:ind w:firstLine="709"/>
        <w:jc w:val="both"/>
      </w:pPr>
      <w:r>
        <w:t xml:space="preserve">Данные об основных характеристиках </w:t>
      </w:r>
      <w:r w:rsidR="00B03617">
        <w:t>мест</w:t>
      </w:r>
      <w:r>
        <w:t>ного бюджета на 2024 год и плановый период 2025 и 2026 годов, в сравнении с 2023 годом  представлены в таблице</w:t>
      </w:r>
    </w:p>
    <w:tbl>
      <w:tblPr>
        <w:tblStyle w:val="af3"/>
        <w:tblW w:w="0" w:type="auto"/>
        <w:tblLook w:val="04A0"/>
      </w:tblPr>
      <w:tblGrid>
        <w:gridCol w:w="879"/>
        <w:gridCol w:w="1091"/>
        <w:gridCol w:w="1091"/>
        <w:gridCol w:w="1091"/>
        <w:gridCol w:w="923"/>
        <w:gridCol w:w="766"/>
        <w:gridCol w:w="1091"/>
        <w:gridCol w:w="774"/>
        <w:gridCol w:w="1091"/>
        <w:gridCol w:w="774"/>
      </w:tblGrid>
      <w:tr w:rsidR="0059692A" w:rsidTr="00B03617">
        <w:tc>
          <w:tcPr>
            <w:tcW w:w="879" w:type="dxa"/>
            <w:vMerge w:val="restart"/>
          </w:tcPr>
          <w:p w:rsidR="0059692A" w:rsidRPr="0096495B" w:rsidRDefault="0059692A" w:rsidP="00B03617">
            <w:pPr>
              <w:pStyle w:val="Default"/>
              <w:jc w:val="center"/>
              <w:rPr>
                <w:sz w:val="16"/>
                <w:szCs w:val="16"/>
                <w:vertAlign w:val="superscript"/>
              </w:rPr>
            </w:pPr>
            <w:bookmarkStart w:id="1" w:name="_Hlk151479505"/>
            <w:r>
              <w:rPr>
                <w:sz w:val="16"/>
                <w:szCs w:val="16"/>
                <w:vertAlign w:val="superscript"/>
              </w:rPr>
              <w:t>Наименование показател</w:t>
            </w:r>
            <w:r w:rsidRPr="0096495B">
              <w:rPr>
                <w:sz w:val="16"/>
                <w:szCs w:val="16"/>
                <w:vertAlign w:val="superscript"/>
              </w:rPr>
              <w:t>я</w:t>
            </w:r>
          </w:p>
        </w:tc>
        <w:tc>
          <w:tcPr>
            <w:tcW w:w="2182" w:type="dxa"/>
            <w:gridSpan w:val="2"/>
          </w:tcPr>
          <w:p w:rsidR="0059692A" w:rsidRPr="0096495B" w:rsidRDefault="0059692A" w:rsidP="00B03617">
            <w:pPr>
              <w:pStyle w:val="Default"/>
              <w:jc w:val="center"/>
              <w:rPr>
                <w:sz w:val="16"/>
                <w:szCs w:val="16"/>
                <w:vertAlign w:val="superscript"/>
              </w:rPr>
            </w:pPr>
            <w:r>
              <w:rPr>
                <w:sz w:val="16"/>
                <w:szCs w:val="16"/>
                <w:vertAlign w:val="superscript"/>
              </w:rPr>
              <w:t>Утверждено на 2023 год</w:t>
            </w:r>
          </w:p>
        </w:tc>
        <w:tc>
          <w:tcPr>
            <w:tcW w:w="6510" w:type="dxa"/>
            <w:gridSpan w:val="7"/>
          </w:tcPr>
          <w:p w:rsidR="0059692A" w:rsidRPr="0096495B" w:rsidRDefault="0059692A" w:rsidP="00B03617">
            <w:pPr>
              <w:pStyle w:val="Default"/>
              <w:jc w:val="center"/>
              <w:rPr>
                <w:sz w:val="16"/>
                <w:szCs w:val="16"/>
                <w:vertAlign w:val="superscript"/>
              </w:rPr>
            </w:pPr>
            <w:r>
              <w:rPr>
                <w:sz w:val="16"/>
                <w:szCs w:val="16"/>
                <w:vertAlign w:val="superscript"/>
              </w:rPr>
              <w:t>Предусмотрено проектом решения</w:t>
            </w:r>
          </w:p>
        </w:tc>
      </w:tr>
      <w:tr w:rsidR="0059692A" w:rsidTr="00B03617">
        <w:tc>
          <w:tcPr>
            <w:tcW w:w="879" w:type="dxa"/>
            <w:vMerge/>
          </w:tcPr>
          <w:p w:rsidR="0059692A" w:rsidRPr="0096495B" w:rsidRDefault="0059692A" w:rsidP="00B03617">
            <w:pPr>
              <w:pStyle w:val="Default"/>
              <w:jc w:val="center"/>
              <w:rPr>
                <w:sz w:val="16"/>
                <w:szCs w:val="16"/>
                <w:vertAlign w:val="superscript"/>
              </w:rPr>
            </w:pPr>
          </w:p>
        </w:tc>
        <w:tc>
          <w:tcPr>
            <w:tcW w:w="1091"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первоначальная редакция, рублей</w:t>
            </w:r>
          </w:p>
        </w:tc>
        <w:tc>
          <w:tcPr>
            <w:tcW w:w="1091"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с учетом изменений (ред. от 2</w:t>
            </w:r>
            <w:r w:rsidR="00B03617">
              <w:rPr>
                <w:sz w:val="16"/>
                <w:szCs w:val="16"/>
                <w:vertAlign w:val="superscript"/>
              </w:rPr>
              <w:t>9</w:t>
            </w:r>
            <w:r>
              <w:rPr>
                <w:sz w:val="16"/>
                <w:szCs w:val="16"/>
                <w:vertAlign w:val="superscript"/>
              </w:rPr>
              <w:t>.09.2023г) рублей</w:t>
            </w:r>
          </w:p>
        </w:tc>
        <w:tc>
          <w:tcPr>
            <w:tcW w:w="2780" w:type="dxa"/>
            <w:gridSpan w:val="3"/>
          </w:tcPr>
          <w:p w:rsidR="0059692A" w:rsidRPr="0096495B" w:rsidRDefault="0059692A" w:rsidP="00B03617">
            <w:pPr>
              <w:pStyle w:val="Default"/>
              <w:jc w:val="center"/>
              <w:rPr>
                <w:sz w:val="16"/>
                <w:szCs w:val="16"/>
                <w:vertAlign w:val="superscript"/>
              </w:rPr>
            </w:pPr>
            <w:r>
              <w:rPr>
                <w:sz w:val="16"/>
                <w:szCs w:val="16"/>
                <w:vertAlign w:val="superscript"/>
              </w:rPr>
              <w:t>на 2024 год</w:t>
            </w:r>
          </w:p>
        </w:tc>
        <w:tc>
          <w:tcPr>
            <w:tcW w:w="1865" w:type="dxa"/>
            <w:gridSpan w:val="2"/>
          </w:tcPr>
          <w:p w:rsidR="0059692A" w:rsidRPr="0096495B" w:rsidRDefault="0059692A" w:rsidP="00B03617">
            <w:pPr>
              <w:pStyle w:val="Default"/>
              <w:jc w:val="center"/>
              <w:rPr>
                <w:sz w:val="16"/>
                <w:szCs w:val="16"/>
                <w:vertAlign w:val="superscript"/>
              </w:rPr>
            </w:pPr>
            <w:r>
              <w:rPr>
                <w:sz w:val="16"/>
                <w:szCs w:val="16"/>
                <w:vertAlign w:val="superscript"/>
              </w:rPr>
              <w:t>на 2025 год</w:t>
            </w:r>
          </w:p>
        </w:tc>
        <w:tc>
          <w:tcPr>
            <w:tcW w:w="1865" w:type="dxa"/>
            <w:gridSpan w:val="2"/>
          </w:tcPr>
          <w:p w:rsidR="0059692A" w:rsidRPr="0096495B" w:rsidRDefault="0059692A" w:rsidP="00B03617">
            <w:pPr>
              <w:pStyle w:val="Default"/>
              <w:jc w:val="center"/>
              <w:rPr>
                <w:sz w:val="16"/>
                <w:szCs w:val="16"/>
                <w:vertAlign w:val="superscript"/>
              </w:rPr>
            </w:pPr>
            <w:r>
              <w:rPr>
                <w:sz w:val="16"/>
                <w:szCs w:val="16"/>
                <w:vertAlign w:val="superscript"/>
              </w:rPr>
              <w:t>на 2026 год</w:t>
            </w:r>
          </w:p>
        </w:tc>
      </w:tr>
      <w:tr w:rsidR="0059692A" w:rsidTr="00B03617">
        <w:tc>
          <w:tcPr>
            <w:tcW w:w="879" w:type="dxa"/>
            <w:vMerge/>
          </w:tcPr>
          <w:p w:rsidR="0059692A" w:rsidRPr="0096495B" w:rsidRDefault="0059692A" w:rsidP="00B03617">
            <w:pPr>
              <w:pStyle w:val="Default"/>
              <w:jc w:val="center"/>
              <w:rPr>
                <w:sz w:val="16"/>
                <w:szCs w:val="16"/>
                <w:vertAlign w:val="superscript"/>
              </w:rPr>
            </w:pPr>
          </w:p>
        </w:tc>
        <w:tc>
          <w:tcPr>
            <w:tcW w:w="1091" w:type="dxa"/>
            <w:vMerge/>
          </w:tcPr>
          <w:p w:rsidR="0059692A" w:rsidRDefault="0059692A" w:rsidP="00B03617">
            <w:pPr>
              <w:pStyle w:val="Default"/>
              <w:jc w:val="center"/>
              <w:rPr>
                <w:sz w:val="16"/>
                <w:szCs w:val="16"/>
                <w:vertAlign w:val="superscript"/>
              </w:rPr>
            </w:pPr>
          </w:p>
        </w:tc>
        <w:tc>
          <w:tcPr>
            <w:tcW w:w="1091" w:type="dxa"/>
            <w:vMerge/>
          </w:tcPr>
          <w:p w:rsidR="0059692A" w:rsidRDefault="0059692A" w:rsidP="00B03617">
            <w:pPr>
              <w:pStyle w:val="Default"/>
              <w:jc w:val="center"/>
              <w:rPr>
                <w:sz w:val="16"/>
                <w:szCs w:val="16"/>
                <w:vertAlign w:val="superscript"/>
              </w:rPr>
            </w:pPr>
          </w:p>
        </w:tc>
        <w:tc>
          <w:tcPr>
            <w:tcW w:w="1091"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рублей</w:t>
            </w:r>
          </w:p>
        </w:tc>
        <w:tc>
          <w:tcPr>
            <w:tcW w:w="1689" w:type="dxa"/>
            <w:gridSpan w:val="2"/>
          </w:tcPr>
          <w:p w:rsidR="0059692A" w:rsidRPr="0096495B" w:rsidRDefault="0059692A" w:rsidP="00B03617">
            <w:pPr>
              <w:pStyle w:val="Default"/>
              <w:jc w:val="center"/>
              <w:rPr>
                <w:sz w:val="16"/>
                <w:szCs w:val="16"/>
                <w:vertAlign w:val="superscript"/>
              </w:rPr>
            </w:pPr>
            <w:r>
              <w:rPr>
                <w:sz w:val="16"/>
                <w:szCs w:val="16"/>
                <w:vertAlign w:val="superscript"/>
              </w:rPr>
              <w:t>отношение к 2023 году, %</w:t>
            </w:r>
          </w:p>
        </w:tc>
        <w:tc>
          <w:tcPr>
            <w:tcW w:w="1091"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рублей</w:t>
            </w:r>
          </w:p>
        </w:tc>
        <w:tc>
          <w:tcPr>
            <w:tcW w:w="774"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отношение к 2024 году, %</w:t>
            </w:r>
          </w:p>
        </w:tc>
        <w:tc>
          <w:tcPr>
            <w:tcW w:w="1091"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рублей</w:t>
            </w:r>
          </w:p>
        </w:tc>
        <w:tc>
          <w:tcPr>
            <w:tcW w:w="774" w:type="dxa"/>
            <w:vMerge w:val="restart"/>
          </w:tcPr>
          <w:p w:rsidR="0059692A" w:rsidRPr="0096495B" w:rsidRDefault="0059692A" w:rsidP="00B03617">
            <w:pPr>
              <w:pStyle w:val="Default"/>
              <w:jc w:val="center"/>
              <w:rPr>
                <w:sz w:val="16"/>
                <w:szCs w:val="16"/>
                <w:vertAlign w:val="superscript"/>
              </w:rPr>
            </w:pPr>
            <w:r>
              <w:rPr>
                <w:sz w:val="16"/>
                <w:szCs w:val="16"/>
                <w:vertAlign w:val="superscript"/>
              </w:rPr>
              <w:t>отношение к 2025 году, %</w:t>
            </w:r>
          </w:p>
        </w:tc>
      </w:tr>
      <w:tr w:rsidR="0059692A" w:rsidTr="00B03617">
        <w:tc>
          <w:tcPr>
            <w:tcW w:w="879" w:type="dxa"/>
            <w:vMerge/>
          </w:tcPr>
          <w:p w:rsidR="0059692A" w:rsidRPr="0096495B" w:rsidRDefault="0059692A" w:rsidP="00B03617">
            <w:pPr>
              <w:pStyle w:val="Default"/>
              <w:jc w:val="center"/>
              <w:rPr>
                <w:sz w:val="16"/>
                <w:szCs w:val="16"/>
                <w:vertAlign w:val="superscript"/>
              </w:rPr>
            </w:pPr>
          </w:p>
        </w:tc>
        <w:tc>
          <w:tcPr>
            <w:tcW w:w="1091" w:type="dxa"/>
            <w:vMerge/>
          </w:tcPr>
          <w:p w:rsidR="0059692A" w:rsidRDefault="0059692A" w:rsidP="00B03617">
            <w:pPr>
              <w:pStyle w:val="Default"/>
              <w:jc w:val="center"/>
              <w:rPr>
                <w:sz w:val="16"/>
                <w:szCs w:val="16"/>
                <w:vertAlign w:val="superscript"/>
              </w:rPr>
            </w:pPr>
          </w:p>
        </w:tc>
        <w:tc>
          <w:tcPr>
            <w:tcW w:w="1091" w:type="dxa"/>
            <w:vMerge/>
          </w:tcPr>
          <w:p w:rsidR="0059692A" w:rsidRDefault="0059692A" w:rsidP="00B03617">
            <w:pPr>
              <w:pStyle w:val="Default"/>
              <w:jc w:val="center"/>
              <w:rPr>
                <w:sz w:val="16"/>
                <w:szCs w:val="16"/>
                <w:vertAlign w:val="superscript"/>
              </w:rPr>
            </w:pPr>
          </w:p>
        </w:tc>
        <w:tc>
          <w:tcPr>
            <w:tcW w:w="1091" w:type="dxa"/>
            <w:vMerge/>
          </w:tcPr>
          <w:p w:rsidR="0059692A" w:rsidRDefault="0059692A" w:rsidP="00B03617">
            <w:pPr>
              <w:pStyle w:val="Default"/>
              <w:jc w:val="center"/>
              <w:rPr>
                <w:sz w:val="16"/>
                <w:szCs w:val="16"/>
                <w:vertAlign w:val="superscript"/>
              </w:rPr>
            </w:pPr>
          </w:p>
        </w:tc>
        <w:tc>
          <w:tcPr>
            <w:tcW w:w="923" w:type="dxa"/>
          </w:tcPr>
          <w:p w:rsidR="0059692A" w:rsidRPr="0096495B" w:rsidRDefault="0059692A" w:rsidP="00B03617">
            <w:pPr>
              <w:pStyle w:val="Default"/>
              <w:jc w:val="center"/>
              <w:rPr>
                <w:sz w:val="16"/>
                <w:szCs w:val="16"/>
                <w:vertAlign w:val="superscript"/>
              </w:rPr>
            </w:pPr>
            <w:r>
              <w:rPr>
                <w:sz w:val="16"/>
                <w:szCs w:val="16"/>
                <w:vertAlign w:val="superscript"/>
              </w:rPr>
              <w:t>к первоначальной редакции</w:t>
            </w:r>
          </w:p>
        </w:tc>
        <w:tc>
          <w:tcPr>
            <w:tcW w:w="766" w:type="dxa"/>
          </w:tcPr>
          <w:p w:rsidR="0059692A" w:rsidRPr="0096495B" w:rsidRDefault="0059692A" w:rsidP="00B03617">
            <w:pPr>
              <w:pStyle w:val="Default"/>
              <w:jc w:val="center"/>
              <w:rPr>
                <w:sz w:val="16"/>
                <w:szCs w:val="16"/>
                <w:vertAlign w:val="superscript"/>
              </w:rPr>
            </w:pPr>
            <w:r>
              <w:rPr>
                <w:sz w:val="16"/>
                <w:szCs w:val="16"/>
                <w:vertAlign w:val="superscript"/>
              </w:rPr>
              <w:t>с учетом изменений</w:t>
            </w:r>
          </w:p>
        </w:tc>
        <w:tc>
          <w:tcPr>
            <w:tcW w:w="1091" w:type="dxa"/>
            <w:vMerge/>
          </w:tcPr>
          <w:p w:rsidR="0059692A" w:rsidRPr="0096495B" w:rsidRDefault="0059692A" w:rsidP="00B03617">
            <w:pPr>
              <w:pStyle w:val="Default"/>
              <w:jc w:val="center"/>
              <w:rPr>
                <w:sz w:val="16"/>
                <w:szCs w:val="16"/>
                <w:vertAlign w:val="superscript"/>
              </w:rPr>
            </w:pPr>
          </w:p>
        </w:tc>
        <w:tc>
          <w:tcPr>
            <w:tcW w:w="774" w:type="dxa"/>
            <w:vMerge/>
          </w:tcPr>
          <w:p w:rsidR="0059692A" w:rsidRPr="0096495B" w:rsidRDefault="0059692A" w:rsidP="00B03617">
            <w:pPr>
              <w:pStyle w:val="Default"/>
              <w:jc w:val="center"/>
              <w:rPr>
                <w:sz w:val="16"/>
                <w:szCs w:val="16"/>
                <w:vertAlign w:val="superscript"/>
              </w:rPr>
            </w:pPr>
          </w:p>
        </w:tc>
        <w:tc>
          <w:tcPr>
            <w:tcW w:w="1091" w:type="dxa"/>
            <w:vMerge/>
          </w:tcPr>
          <w:p w:rsidR="0059692A" w:rsidRPr="0096495B" w:rsidRDefault="0059692A" w:rsidP="00B03617">
            <w:pPr>
              <w:pStyle w:val="Default"/>
              <w:jc w:val="center"/>
              <w:rPr>
                <w:sz w:val="16"/>
                <w:szCs w:val="16"/>
                <w:vertAlign w:val="superscript"/>
              </w:rPr>
            </w:pPr>
          </w:p>
        </w:tc>
        <w:tc>
          <w:tcPr>
            <w:tcW w:w="774" w:type="dxa"/>
            <w:vMerge/>
          </w:tcPr>
          <w:p w:rsidR="0059692A" w:rsidRPr="0096495B" w:rsidRDefault="0059692A" w:rsidP="00B03617">
            <w:pPr>
              <w:pStyle w:val="Default"/>
              <w:jc w:val="center"/>
              <w:rPr>
                <w:sz w:val="16"/>
                <w:szCs w:val="16"/>
                <w:vertAlign w:val="superscript"/>
              </w:rPr>
            </w:pPr>
          </w:p>
        </w:tc>
      </w:tr>
      <w:tr w:rsidR="0059692A" w:rsidTr="00B03617">
        <w:tc>
          <w:tcPr>
            <w:tcW w:w="879" w:type="dxa"/>
          </w:tcPr>
          <w:p w:rsidR="0059692A" w:rsidRPr="004D6571" w:rsidRDefault="0059692A" w:rsidP="00B03617">
            <w:pPr>
              <w:pStyle w:val="Default"/>
              <w:jc w:val="center"/>
              <w:rPr>
                <w:b/>
                <w:sz w:val="16"/>
                <w:szCs w:val="16"/>
                <w:vertAlign w:val="superscript"/>
              </w:rPr>
            </w:pPr>
            <w:r w:rsidRPr="004D6571">
              <w:rPr>
                <w:b/>
                <w:sz w:val="16"/>
                <w:szCs w:val="16"/>
                <w:vertAlign w:val="superscript"/>
              </w:rPr>
              <w:t>Доходы, всего</w:t>
            </w:r>
          </w:p>
        </w:tc>
        <w:tc>
          <w:tcPr>
            <w:tcW w:w="1091" w:type="dxa"/>
          </w:tcPr>
          <w:p w:rsidR="0059692A" w:rsidRPr="004D6571" w:rsidRDefault="00323899" w:rsidP="00B03617">
            <w:pPr>
              <w:pStyle w:val="Default"/>
              <w:jc w:val="center"/>
              <w:rPr>
                <w:b/>
                <w:sz w:val="22"/>
                <w:szCs w:val="22"/>
                <w:vertAlign w:val="superscript"/>
              </w:rPr>
            </w:pPr>
            <w:r>
              <w:rPr>
                <w:b/>
                <w:sz w:val="22"/>
                <w:szCs w:val="22"/>
                <w:vertAlign w:val="superscript"/>
              </w:rPr>
              <w:t>30 876 703,06</w:t>
            </w:r>
          </w:p>
        </w:tc>
        <w:tc>
          <w:tcPr>
            <w:tcW w:w="1091" w:type="dxa"/>
          </w:tcPr>
          <w:p w:rsidR="0059692A" w:rsidRPr="004D6571" w:rsidRDefault="00C87F60" w:rsidP="00B03617">
            <w:pPr>
              <w:pStyle w:val="Default"/>
              <w:jc w:val="center"/>
              <w:rPr>
                <w:b/>
                <w:sz w:val="22"/>
                <w:szCs w:val="22"/>
                <w:vertAlign w:val="superscript"/>
              </w:rPr>
            </w:pPr>
            <w:r>
              <w:rPr>
                <w:b/>
                <w:sz w:val="22"/>
                <w:szCs w:val="22"/>
                <w:vertAlign w:val="superscript"/>
              </w:rPr>
              <w:t>51 475  754,86</w:t>
            </w:r>
          </w:p>
        </w:tc>
        <w:tc>
          <w:tcPr>
            <w:tcW w:w="1091" w:type="dxa"/>
          </w:tcPr>
          <w:p w:rsidR="0059692A" w:rsidRPr="004D6571" w:rsidRDefault="00B03617" w:rsidP="00B03617">
            <w:pPr>
              <w:pStyle w:val="Default"/>
              <w:jc w:val="center"/>
              <w:rPr>
                <w:b/>
                <w:sz w:val="22"/>
                <w:szCs w:val="22"/>
                <w:vertAlign w:val="superscript"/>
              </w:rPr>
            </w:pPr>
            <w:r>
              <w:rPr>
                <w:b/>
                <w:sz w:val="22"/>
                <w:szCs w:val="22"/>
                <w:vertAlign w:val="superscript"/>
              </w:rPr>
              <w:t>37 510 338,70</w:t>
            </w:r>
          </w:p>
        </w:tc>
        <w:tc>
          <w:tcPr>
            <w:tcW w:w="923" w:type="dxa"/>
          </w:tcPr>
          <w:p w:rsidR="0059692A" w:rsidRPr="004D6571" w:rsidRDefault="00323899" w:rsidP="00B03617">
            <w:pPr>
              <w:pStyle w:val="Default"/>
              <w:jc w:val="center"/>
              <w:rPr>
                <w:b/>
                <w:sz w:val="22"/>
                <w:szCs w:val="22"/>
                <w:vertAlign w:val="superscript"/>
              </w:rPr>
            </w:pPr>
            <w:r>
              <w:rPr>
                <w:b/>
                <w:sz w:val="22"/>
                <w:szCs w:val="22"/>
                <w:vertAlign w:val="superscript"/>
              </w:rPr>
              <w:t>121,48</w:t>
            </w:r>
          </w:p>
        </w:tc>
        <w:tc>
          <w:tcPr>
            <w:tcW w:w="766" w:type="dxa"/>
          </w:tcPr>
          <w:p w:rsidR="0059692A" w:rsidRPr="004D6571" w:rsidRDefault="00323899" w:rsidP="00B03617">
            <w:pPr>
              <w:pStyle w:val="Default"/>
              <w:jc w:val="center"/>
              <w:rPr>
                <w:b/>
                <w:sz w:val="22"/>
                <w:szCs w:val="22"/>
                <w:vertAlign w:val="superscript"/>
              </w:rPr>
            </w:pPr>
            <w:r>
              <w:rPr>
                <w:b/>
                <w:sz w:val="22"/>
                <w:szCs w:val="22"/>
                <w:vertAlign w:val="superscript"/>
              </w:rPr>
              <w:t>72,87</w:t>
            </w:r>
          </w:p>
        </w:tc>
        <w:tc>
          <w:tcPr>
            <w:tcW w:w="1091" w:type="dxa"/>
          </w:tcPr>
          <w:p w:rsidR="0059692A" w:rsidRPr="004D6571" w:rsidRDefault="00B03617" w:rsidP="00B03617">
            <w:pPr>
              <w:pStyle w:val="Default"/>
              <w:jc w:val="center"/>
              <w:rPr>
                <w:b/>
                <w:sz w:val="22"/>
                <w:szCs w:val="22"/>
                <w:vertAlign w:val="superscript"/>
              </w:rPr>
            </w:pPr>
            <w:r>
              <w:rPr>
                <w:b/>
                <w:sz w:val="22"/>
                <w:szCs w:val="22"/>
                <w:vertAlign w:val="superscript"/>
              </w:rPr>
              <w:t>32 849 190,34</w:t>
            </w:r>
          </w:p>
        </w:tc>
        <w:tc>
          <w:tcPr>
            <w:tcW w:w="774" w:type="dxa"/>
          </w:tcPr>
          <w:p w:rsidR="0059692A" w:rsidRPr="004D6571" w:rsidRDefault="00E6668F" w:rsidP="00B03617">
            <w:pPr>
              <w:pStyle w:val="Default"/>
              <w:jc w:val="center"/>
              <w:rPr>
                <w:b/>
                <w:sz w:val="22"/>
                <w:szCs w:val="22"/>
                <w:vertAlign w:val="superscript"/>
              </w:rPr>
            </w:pPr>
            <w:r>
              <w:rPr>
                <w:b/>
                <w:sz w:val="22"/>
                <w:szCs w:val="22"/>
                <w:vertAlign w:val="superscript"/>
              </w:rPr>
              <w:t>87,57</w:t>
            </w:r>
          </w:p>
        </w:tc>
        <w:tc>
          <w:tcPr>
            <w:tcW w:w="1091" w:type="dxa"/>
          </w:tcPr>
          <w:p w:rsidR="0059692A" w:rsidRPr="004D6571" w:rsidRDefault="00B03617" w:rsidP="00B03617">
            <w:pPr>
              <w:pStyle w:val="Default"/>
              <w:jc w:val="center"/>
              <w:rPr>
                <w:b/>
                <w:sz w:val="22"/>
                <w:szCs w:val="22"/>
                <w:vertAlign w:val="superscript"/>
              </w:rPr>
            </w:pPr>
            <w:r>
              <w:rPr>
                <w:b/>
                <w:sz w:val="22"/>
                <w:szCs w:val="22"/>
                <w:vertAlign w:val="superscript"/>
              </w:rPr>
              <w:t>35 112 283,34</w:t>
            </w:r>
          </w:p>
        </w:tc>
        <w:tc>
          <w:tcPr>
            <w:tcW w:w="774" w:type="dxa"/>
          </w:tcPr>
          <w:p w:rsidR="0059692A" w:rsidRPr="004D6571" w:rsidRDefault="00E6668F" w:rsidP="00B03617">
            <w:pPr>
              <w:pStyle w:val="Default"/>
              <w:jc w:val="center"/>
              <w:rPr>
                <w:b/>
                <w:sz w:val="22"/>
                <w:szCs w:val="22"/>
                <w:vertAlign w:val="superscript"/>
              </w:rPr>
            </w:pPr>
            <w:r>
              <w:rPr>
                <w:b/>
                <w:sz w:val="22"/>
                <w:szCs w:val="22"/>
                <w:vertAlign w:val="superscript"/>
              </w:rPr>
              <w:t>106,89</w:t>
            </w:r>
          </w:p>
        </w:tc>
      </w:tr>
      <w:bookmarkEnd w:id="1"/>
      <w:tr w:rsidR="0059692A" w:rsidTr="00B03617">
        <w:tc>
          <w:tcPr>
            <w:tcW w:w="879" w:type="dxa"/>
          </w:tcPr>
          <w:p w:rsidR="0059692A" w:rsidRPr="004D6571" w:rsidRDefault="0059692A" w:rsidP="00B03617">
            <w:pPr>
              <w:pStyle w:val="Default"/>
              <w:jc w:val="center"/>
              <w:rPr>
                <w:i/>
                <w:sz w:val="16"/>
                <w:szCs w:val="16"/>
                <w:vertAlign w:val="superscript"/>
              </w:rPr>
            </w:pPr>
            <w:r w:rsidRPr="004D6571">
              <w:rPr>
                <w:i/>
                <w:sz w:val="16"/>
                <w:szCs w:val="16"/>
                <w:vertAlign w:val="superscript"/>
              </w:rPr>
              <w:t>в том числе:</w:t>
            </w:r>
          </w:p>
        </w:tc>
        <w:tc>
          <w:tcPr>
            <w:tcW w:w="1091" w:type="dxa"/>
          </w:tcPr>
          <w:p w:rsidR="0059692A" w:rsidRPr="004D6571" w:rsidRDefault="0059692A" w:rsidP="00B03617">
            <w:pPr>
              <w:pStyle w:val="Default"/>
              <w:jc w:val="center"/>
              <w:rPr>
                <w:b/>
                <w:sz w:val="22"/>
                <w:szCs w:val="22"/>
                <w:vertAlign w:val="superscript"/>
              </w:rPr>
            </w:pPr>
          </w:p>
        </w:tc>
        <w:tc>
          <w:tcPr>
            <w:tcW w:w="1091" w:type="dxa"/>
          </w:tcPr>
          <w:p w:rsidR="0059692A" w:rsidRPr="004D6571" w:rsidRDefault="0059692A" w:rsidP="00B03617">
            <w:pPr>
              <w:pStyle w:val="Default"/>
              <w:jc w:val="center"/>
              <w:rPr>
                <w:b/>
                <w:sz w:val="22"/>
                <w:szCs w:val="22"/>
                <w:vertAlign w:val="superscript"/>
              </w:rPr>
            </w:pPr>
          </w:p>
        </w:tc>
        <w:tc>
          <w:tcPr>
            <w:tcW w:w="1091" w:type="dxa"/>
          </w:tcPr>
          <w:p w:rsidR="0059692A" w:rsidRPr="004D6571" w:rsidRDefault="0059692A" w:rsidP="00B03617">
            <w:pPr>
              <w:pStyle w:val="Default"/>
              <w:jc w:val="center"/>
              <w:rPr>
                <w:b/>
                <w:sz w:val="22"/>
                <w:szCs w:val="22"/>
                <w:vertAlign w:val="superscript"/>
              </w:rPr>
            </w:pPr>
          </w:p>
        </w:tc>
        <w:tc>
          <w:tcPr>
            <w:tcW w:w="923" w:type="dxa"/>
          </w:tcPr>
          <w:p w:rsidR="0059692A" w:rsidRPr="004D6571" w:rsidRDefault="0059692A" w:rsidP="00B03617">
            <w:pPr>
              <w:pStyle w:val="Default"/>
              <w:jc w:val="center"/>
              <w:rPr>
                <w:b/>
                <w:sz w:val="22"/>
                <w:szCs w:val="22"/>
                <w:vertAlign w:val="superscript"/>
              </w:rPr>
            </w:pPr>
          </w:p>
        </w:tc>
        <w:tc>
          <w:tcPr>
            <w:tcW w:w="766" w:type="dxa"/>
          </w:tcPr>
          <w:p w:rsidR="0059692A" w:rsidRPr="004D6571" w:rsidRDefault="0059692A" w:rsidP="00B03617">
            <w:pPr>
              <w:pStyle w:val="Default"/>
              <w:jc w:val="center"/>
              <w:rPr>
                <w:b/>
                <w:sz w:val="22"/>
                <w:szCs w:val="22"/>
                <w:vertAlign w:val="superscript"/>
              </w:rPr>
            </w:pPr>
          </w:p>
        </w:tc>
        <w:tc>
          <w:tcPr>
            <w:tcW w:w="1091" w:type="dxa"/>
          </w:tcPr>
          <w:p w:rsidR="0059692A" w:rsidRPr="004D6571" w:rsidRDefault="0059692A" w:rsidP="00B03617">
            <w:pPr>
              <w:pStyle w:val="Default"/>
              <w:jc w:val="center"/>
              <w:rPr>
                <w:b/>
                <w:sz w:val="22"/>
                <w:szCs w:val="22"/>
                <w:vertAlign w:val="superscript"/>
              </w:rPr>
            </w:pPr>
          </w:p>
        </w:tc>
        <w:tc>
          <w:tcPr>
            <w:tcW w:w="774" w:type="dxa"/>
          </w:tcPr>
          <w:p w:rsidR="0059692A" w:rsidRPr="004D6571" w:rsidRDefault="0059692A" w:rsidP="00B03617">
            <w:pPr>
              <w:pStyle w:val="Default"/>
              <w:jc w:val="center"/>
              <w:rPr>
                <w:b/>
                <w:sz w:val="22"/>
                <w:szCs w:val="22"/>
                <w:vertAlign w:val="superscript"/>
              </w:rPr>
            </w:pPr>
          </w:p>
        </w:tc>
        <w:tc>
          <w:tcPr>
            <w:tcW w:w="1091" w:type="dxa"/>
          </w:tcPr>
          <w:p w:rsidR="0059692A" w:rsidRPr="004D6571" w:rsidRDefault="0059692A" w:rsidP="00B03617">
            <w:pPr>
              <w:pStyle w:val="Default"/>
              <w:jc w:val="center"/>
              <w:rPr>
                <w:b/>
                <w:sz w:val="22"/>
                <w:szCs w:val="22"/>
                <w:vertAlign w:val="superscript"/>
              </w:rPr>
            </w:pPr>
          </w:p>
        </w:tc>
        <w:tc>
          <w:tcPr>
            <w:tcW w:w="774" w:type="dxa"/>
          </w:tcPr>
          <w:p w:rsidR="0059692A" w:rsidRPr="004D6571" w:rsidRDefault="0059692A" w:rsidP="00B03617">
            <w:pPr>
              <w:pStyle w:val="Default"/>
              <w:jc w:val="center"/>
              <w:rPr>
                <w:b/>
                <w:sz w:val="22"/>
                <w:szCs w:val="22"/>
                <w:vertAlign w:val="superscript"/>
              </w:rPr>
            </w:pPr>
          </w:p>
        </w:tc>
      </w:tr>
      <w:tr w:rsidR="00C87F60" w:rsidTr="00B03617">
        <w:tc>
          <w:tcPr>
            <w:tcW w:w="879" w:type="dxa"/>
          </w:tcPr>
          <w:p w:rsidR="00C87F60" w:rsidRPr="004D6571" w:rsidRDefault="00C87F60" w:rsidP="00B03617">
            <w:pPr>
              <w:pStyle w:val="Default"/>
              <w:jc w:val="center"/>
              <w:rPr>
                <w:sz w:val="16"/>
                <w:szCs w:val="16"/>
                <w:vertAlign w:val="superscript"/>
              </w:rPr>
            </w:pPr>
            <w:r w:rsidRPr="004D6571">
              <w:rPr>
                <w:sz w:val="16"/>
                <w:szCs w:val="16"/>
                <w:vertAlign w:val="superscript"/>
              </w:rPr>
              <w:t>налоговые и неналоговые доходы</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25 010 060,00</w:t>
            </w:r>
          </w:p>
        </w:tc>
        <w:tc>
          <w:tcPr>
            <w:tcW w:w="1091" w:type="dxa"/>
          </w:tcPr>
          <w:p w:rsidR="00C87F60" w:rsidRPr="004D6571" w:rsidRDefault="00C87F60" w:rsidP="00401DA9">
            <w:pPr>
              <w:pStyle w:val="Default"/>
              <w:jc w:val="center"/>
              <w:rPr>
                <w:sz w:val="22"/>
                <w:szCs w:val="22"/>
                <w:vertAlign w:val="superscript"/>
              </w:rPr>
            </w:pPr>
            <w:r>
              <w:rPr>
                <w:sz w:val="22"/>
                <w:szCs w:val="22"/>
                <w:vertAlign w:val="superscript"/>
              </w:rPr>
              <w:t>25 010 060,00</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31 762 140,70</w:t>
            </w:r>
          </w:p>
        </w:tc>
        <w:tc>
          <w:tcPr>
            <w:tcW w:w="923" w:type="dxa"/>
          </w:tcPr>
          <w:p w:rsidR="00C87F60" w:rsidRPr="004D6571" w:rsidRDefault="00323899" w:rsidP="00B03617">
            <w:pPr>
              <w:pStyle w:val="Default"/>
              <w:jc w:val="center"/>
              <w:rPr>
                <w:sz w:val="22"/>
                <w:szCs w:val="22"/>
                <w:vertAlign w:val="superscript"/>
              </w:rPr>
            </w:pPr>
            <w:r>
              <w:rPr>
                <w:sz w:val="22"/>
                <w:szCs w:val="22"/>
                <w:vertAlign w:val="superscript"/>
              </w:rPr>
              <w:t>127,00</w:t>
            </w:r>
          </w:p>
        </w:tc>
        <w:tc>
          <w:tcPr>
            <w:tcW w:w="766" w:type="dxa"/>
          </w:tcPr>
          <w:p w:rsidR="00C87F60" w:rsidRPr="004D6571" w:rsidRDefault="00323899" w:rsidP="00B03617">
            <w:pPr>
              <w:pStyle w:val="Default"/>
              <w:jc w:val="center"/>
              <w:rPr>
                <w:sz w:val="22"/>
                <w:szCs w:val="22"/>
                <w:vertAlign w:val="superscript"/>
              </w:rPr>
            </w:pPr>
            <w:r>
              <w:rPr>
                <w:sz w:val="22"/>
                <w:szCs w:val="22"/>
                <w:vertAlign w:val="superscript"/>
              </w:rPr>
              <w:t>127,00</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28 250 632,00</w:t>
            </w:r>
          </w:p>
        </w:tc>
        <w:tc>
          <w:tcPr>
            <w:tcW w:w="774" w:type="dxa"/>
          </w:tcPr>
          <w:p w:rsidR="00C87F60" w:rsidRPr="004D6571" w:rsidRDefault="00E6668F" w:rsidP="00B03617">
            <w:pPr>
              <w:pStyle w:val="Default"/>
              <w:jc w:val="center"/>
              <w:rPr>
                <w:sz w:val="22"/>
                <w:szCs w:val="22"/>
                <w:vertAlign w:val="superscript"/>
              </w:rPr>
            </w:pPr>
            <w:r>
              <w:rPr>
                <w:sz w:val="22"/>
                <w:szCs w:val="22"/>
                <w:vertAlign w:val="superscript"/>
              </w:rPr>
              <w:t>88,94</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30 513 725,00</w:t>
            </w:r>
          </w:p>
        </w:tc>
        <w:tc>
          <w:tcPr>
            <w:tcW w:w="774" w:type="dxa"/>
          </w:tcPr>
          <w:p w:rsidR="00C87F60" w:rsidRPr="004D6571" w:rsidRDefault="00E6668F" w:rsidP="00B03617">
            <w:pPr>
              <w:pStyle w:val="Default"/>
              <w:jc w:val="center"/>
              <w:rPr>
                <w:sz w:val="22"/>
                <w:szCs w:val="22"/>
                <w:vertAlign w:val="superscript"/>
              </w:rPr>
            </w:pPr>
            <w:r>
              <w:rPr>
                <w:sz w:val="22"/>
                <w:szCs w:val="22"/>
                <w:vertAlign w:val="superscript"/>
              </w:rPr>
              <w:t>108,01</w:t>
            </w:r>
          </w:p>
        </w:tc>
      </w:tr>
      <w:tr w:rsidR="00C87F60" w:rsidTr="00B03617">
        <w:tc>
          <w:tcPr>
            <w:tcW w:w="879" w:type="dxa"/>
          </w:tcPr>
          <w:p w:rsidR="00C87F60" w:rsidRPr="004D6571" w:rsidRDefault="00C87F60" w:rsidP="00B03617">
            <w:pPr>
              <w:pStyle w:val="Default"/>
              <w:jc w:val="center"/>
              <w:rPr>
                <w:sz w:val="16"/>
                <w:szCs w:val="16"/>
                <w:vertAlign w:val="superscript"/>
              </w:rPr>
            </w:pPr>
            <w:r w:rsidRPr="004D6571">
              <w:rPr>
                <w:sz w:val="16"/>
                <w:szCs w:val="16"/>
                <w:vertAlign w:val="superscript"/>
              </w:rPr>
              <w:t>безвозмез</w:t>
            </w:r>
            <w:r>
              <w:rPr>
                <w:sz w:val="16"/>
                <w:szCs w:val="16"/>
                <w:vertAlign w:val="superscript"/>
              </w:rPr>
              <w:t>д</w:t>
            </w:r>
            <w:r w:rsidRPr="004D6571">
              <w:rPr>
                <w:sz w:val="16"/>
                <w:szCs w:val="16"/>
                <w:vertAlign w:val="superscript"/>
              </w:rPr>
              <w:t>ные поступления</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5 866 643,06</w:t>
            </w:r>
          </w:p>
        </w:tc>
        <w:tc>
          <w:tcPr>
            <w:tcW w:w="1091" w:type="dxa"/>
          </w:tcPr>
          <w:p w:rsidR="00C87F60" w:rsidRPr="004D6571" w:rsidRDefault="00C87F60" w:rsidP="00323899">
            <w:pPr>
              <w:pStyle w:val="Default"/>
              <w:jc w:val="center"/>
              <w:rPr>
                <w:sz w:val="22"/>
                <w:szCs w:val="22"/>
                <w:vertAlign w:val="superscript"/>
              </w:rPr>
            </w:pPr>
            <w:r>
              <w:rPr>
                <w:sz w:val="22"/>
                <w:szCs w:val="22"/>
                <w:vertAlign w:val="superscript"/>
              </w:rPr>
              <w:t>2</w:t>
            </w:r>
            <w:r w:rsidR="00323899">
              <w:rPr>
                <w:sz w:val="22"/>
                <w:szCs w:val="22"/>
                <w:vertAlign w:val="superscript"/>
              </w:rPr>
              <w:t>6</w:t>
            </w:r>
            <w:r>
              <w:rPr>
                <w:sz w:val="22"/>
                <w:szCs w:val="22"/>
                <w:vertAlign w:val="superscript"/>
              </w:rPr>
              <w:t> 465 694,86</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5 748 198,00</w:t>
            </w:r>
          </w:p>
        </w:tc>
        <w:tc>
          <w:tcPr>
            <w:tcW w:w="923" w:type="dxa"/>
          </w:tcPr>
          <w:p w:rsidR="00C87F60" w:rsidRPr="004D6571" w:rsidRDefault="00323899" w:rsidP="00B03617">
            <w:pPr>
              <w:pStyle w:val="Default"/>
              <w:jc w:val="center"/>
              <w:rPr>
                <w:sz w:val="22"/>
                <w:szCs w:val="22"/>
                <w:vertAlign w:val="superscript"/>
              </w:rPr>
            </w:pPr>
            <w:r>
              <w:rPr>
                <w:sz w:val="22"/>
                <w:szCs w:val="22"/>
                <w:vertAlign w:val="superscript"/>
              </w:rPr>
              <w:t>97,98</w:t>
            </w:r>
          </w:p>
        </w:tc>
        <w:tc>
          <w:tcPr>
            <w:tcW w:w="766" w:type="dxa"/>
          </w:tcPr>
          <w:p w:rsidR="00C87F60" w:rsidRPr="004D6571" w:rsidRDefault="00323899" w:rsidP="00B03617">
            <w:pPr>
              <w:pStyle w:val="Default"/>
              <w:jc w:val="center"/>
              <w:rPr>
                <w:sz w:val="22"/>
                <w:szCs w:val="22"/>
                <w:vertAlign w:val="superscript"/>
              </w:rPr>
            </w:pPr>
            <w:r>
              <w:rPr>
                <w:sz w:val="22"/>
                <w:szCs w:val="22"/>
                <w:vertAlign w:val="superscript"/>
              </w:rPr>
              <w:t>21,72</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4 598 558,34</w:t>
            </w:r>
          </w:p>
        </w:tc>
        <w:tc>
          <w:tcPr>
            <w:tcW w:w="774" w:type="dxa"/>
          </w:tcPr>
          <w:p w:rsidR="00C87F60" w:rsidRPr="004D6571" w:rsidRDefault="00E6668F" w:rsidP="00B03617">
            <w:pPr>
              <w:pStyle w:val="Default"/>
              <w:jc w:val="center"/>
              <w:rPr>
                <w:sz w:val="22"/>
                <w:szCs w:val="22"/>
                <w:vertAlign w:val="superscript"/>
              </w:rPr>
            </w:pPr>
            <w:r>
              <w:rPr>
                <w:sz w:val="22"/>
                <w:szCs w:val="22"/>
                <w:vertAlign w:val="superscript"/>
              </w:rPr>
              <w:t>80,00</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4 598 558,34</w:t>
            </w:r>
          </w:p>
        </w:tc>
        <w:tc>
          <w:tcPr>
            <w:tcW w:w="774" w:type="dxa"/>
          </w:tcPr>
          <w:p w:rsidR="00C87F60" w:rsidRPr="004D6571" w:rsidRDefault="00E6668F" w:rsidP="00B03617">
            <w:pPr>
              <w:pStyle w:val="Default"/>
              <w:jc w:val="center"/>
              <w:rPr>
                <w:sz w:val="22"/>
                <w:szCs w:val="22"/>
                <w:vertAlign w:val="superscript"/>
              </w:rPr>
            </w:pPr>
            <w:r>
              <w:rPr>
                <w:sz w:val="22"/>
                <w:szCs w:val="22"/>
                <w:vertAlign w:val="superscript"/>
              </w:rPr>
              <w:t>100,00</w:t>
            </w:r>
          </w:p>
        </w:tc>
      </w:tr>
      <w:tr w:rsidR="00C87F60" w:rsidTr="00B03617">
        <w:tc>
          <w:tcPr>
            <w:tcW w:w="879" w:type="dxa"/>
          </w:tcPr>
          <w:p w:rsidR="00C87F60" w:rsidRPr="004D6571" w:rsidRDefault="00C87F60" w:rsidP="00B03617">
            <w:pPr>
              <w:pStyle w:val="Default"/>
              <w:jc w:val="center"/>
              <w:rPr>
                <w:b/>
                <w:sz w:val="16"/>
                <w:szCs w:val="16"/>
                <w:vertAlign w:val="superscript"/>
              </w:rPr>
            </w:pPr>
            <w:r w:rsidRPr="004D6571">
              <w:rPr>
                <w:b/>
                <w:sz w:val="16"/>
                <w:szCs w:val="16"/>
                <w:vertAlign w:val="superscript"/>
              </w:rPr>
              <w:t>Расходы, всего</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30 876 703,06</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52 930 487,79</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37 510 338,70</w:t>
            </w:r>
          </w:p>
        </w:tc>
        <w:tc>
          <w:tcPr>
            <w:tcW w:w="923" w:type="dxa"/>
          </w:tcPr>
          <w:p w:rsidR="00C87F60" w:rsidRPr="004D6571" w:rsidRDefault="00323899" w:rsidP="00B03617">
            <w:pPr>
              <w:pStyle w:val="Default"/>
              <w:jc w:val="center"/>
              <w:rPr>
                <w:b/>
                <w:sz w:val="22"/>
                <w:szCs w:val="22"/>
                <w:vertAlign w:val="superscript"/>
              </w:rPr>
            </w:pPr>
            <w:r>
              <w:rPr>
                <w:b/>
                <w:sz w:val="22"/>
                <w:szCs w:val="22"/>
                <w:vertAlign w:val="superscript"/>
              </w:rPr>
              <w:t>121,48</w:t>
            </w:r>
          </w:p>
        </w:tc>
        <w:tc>
          <w:tcPr>
            <w:tcW w:w="766" w:type="dxa"/>
          </w:tcPr>
          <w:p w:rsidR="00C87F60" w:rsidRPr="004D6571" w:rsidRDefault="00323899" w:rsidP="00B03617">
            <w:pPr>
              <w:pStyle w:val="Default"/>
              <w:jc w:val="center"/>
              <w:rPr>
                <w:b/>
                <w:sz w:val="22"/>
                <w:szCs w:val="22"/>
                <w:vertAlign w:val="superscript"/>
              </w:rPr>
            </w:pPr>
            <w:r>
              <w:rPr>
                <w:b/>
                <w:sz w:val="22"/>
                <w:szCs w:val="22"/>
                <w:vertAlign w:val="superscript"/>
              </w:rPr>
              <w:t>70,87</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32 849 190,34</w:t>
            </w:r>
          </w:p>
        </w:tc>
        <w:tc>
          <w:tcPr>
            <w:tcW w:w="774" w:type="dxa"/>
          </w:tcPr>
          <w:p w:rsidR="00C87F60" w:rsidRPr="004D6571" w:rsidRDefault="00E6668F" w:rsidP="00B03617">
            <w:pPr>
              <w:pStyle w:val="Default"/>
              <w:jc w:val="center"/>
              <w:rPr>
                <w:b/>
                <w:sz w:val="22"/>
                <w:szCs w:val="22"/>
                <w:vertAlign w:val="superscript"/>
              </w:rPr>
            </w:pPr>
            <w:r>
              <w:rPr>
                <w:b/>
                <w:sz w:val="22"/>
                <w:szCs w:val="22"/>
                <w:vertAlign w:val="superscript"/>
              </w:rPr>
              <w:t>87,57</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35 112 283,34</w:t>
            </w:r>
          </w:p>
        </w:tc>
        <w:tc>
          <w:tcPr>
            <w:tcW w:w="774" w:type="dxa"/>
          </w:tcPr>
          <w:p w:rsidR="00C87F60" w:rsidRPr="004D6571" w:rsidRDefault="00E6668F" w:rsidP="00B03617">
            <w:pPr>
              <w:pStyle w:val="Default"/>
              <w:jc w:val="center"/>
              <w:rPr>
                <w:b/>
                <w:sz w:val="22"/>
                <w:szCs w:val="22"/>
                <w:vertAlign w:val="superscript"/>
              </w:rPr>
            </w:pPr>
            <w:r>
              <w:rPr>
                <w:b/>
                <w:sz w:val="22"/>
                <w:szCs w:val="22"/>
                <w:vertAlign w:val="superscript"/>
              </w:rPr>
              <w:t>106,89</w:t>
            </w:r>
          </w:p>
        </w:tc>
      </w:tr>
      <w:tr w:rsidR="00C87F60" w:rsidTr="00B03617">
        <w:tc>
          <w:tcPr>
            <w:tcW w:w="879" w:type="dxa"/>
          </w:tcPr>
          <w:p w:rsidR="00C87F60" w:rsidRPr="004D6571" w:rsidRDefault="00C87F60" w:rsidP="00B03617">
            <w:pPr>
              <w:pStyle w:val="Default"/>
              <w:jc w:val="center"/>
              <w:rPr>
                <w:i/>
                <w:sz w:val="16"/>
                <w:szCs w:val="16"/>
                <w:vertAlign w:val="superscript"/>
              </w:rPr>
            </w:pPr>
            <w:r w:rsidRPr="004D6571">
              <w:rPr>
                <w:i/>
                <w:sz w:val="16"/>
                <w:szCs w:val="16"/>
                <w:vertAlign w:val="superscript"/>
              </w:rPr>
              <w:t>в том числе:</w:t>
            </w:r>
          </w:p>
        </w:tc>
        <w:tc>
          <w:tcPr>
            <w:tcW w:w="1091" w:type="dxa"/>
          </w:tcPr>
          <w:p w:rsidR="00C87F60" w:rsidRPr="004D6571" w:rsidRDefault="00C87F60" w:rsidP="00B03617">
            <w:pPr>
              <w:pStyle w:val="Default"/>
              <w:jc w:val="center"/>
              <w:rPr>
                <w:b/>
                <w:sz w:val="22"/>
                <w:szCs w:val="22"/>
                <w:vertAlign w:val="superscript"/>
              </w:rPr>
            </w:pPr>
          </w:p>
        </w:tc>
        <w:tc>
          <w:tcPr>
            <w:tcW w:w="1091" w:type="dxa"/>
          </w:tcPr>
          <w:p w:rsidR="00C87F60" w:rsidRPr="004D6571" w:rsidRDefault="00C87F60" w:rsidP="00B03617">
            <w:pPr>
              <w:pStyle w:val="Default"/>
              <w:jc w:val="center"/>
              <w:rPr>
                <w:b/>
                <w:sz w:val="22"/>
                <w:szCs w:val="22"/>
                <w:vertAlign w:val="superscript"/>
              </w:rPr>
            </w:pPr>
          </w:p>
        </w:tc>
        <w:tc>
          <w:tcPr>
            <w:tcW w:w="1091" w:type="dxa"/>
          </w:tcPr>
          <w:p w:rsidR="00C87F60" w:rsidRPr="004D6571" w:rsidRDefault="00C87F60" w:rsidP="00B03617">
            <w:pPr>
              <w:pStyle w:val="Default"/>
              <w:jc w:val="center"/>
              <w:rPr>
                <w:b/>
                <w:sz w:val="22"/>
                <w:szCs w:val="22"/>
                <w:vertAlign w:val="superscript"/>
              </w:rPr>
            </w:pPr>
          </w:p>
        </w:tc>
        <w:tc>
          <w:tcPr>
            <w:tcW w:w="923" w:type="dxa"/>
          </w:tcPr>
          <w:p w:rsidR="00C87F60" w:rsidRPr="004D6571" w:rsidRDefault="00C87F60" w:rsidP="00B03617">
            <w:pPr>
              <w:pStyle w:val="Default"/>
              <w:jc w:val="center"/>
              <w:rPr>
                <w:b/>
                <w:sz w:val="22"/>
                <w:szCs w:val="22"/>
                <w:vertAlign w:val="superscript"/>
              </w:rPr>
            </w:pPr>
          </w:p>
        </w:tc>
        <w:tc>
          <w:tcPr>
            <w:tcW w:w="766" w:type="dxa"/>
          </w:tcPr>
          <w:p w:rsidR="00C87F60" w:rsidRPr="004D6571" w:rsidRDefault="00C87F60" w:rsidP="00B03617">
            <w:pPr>
              <w:pStyle w:val="Default"/>
              <w:jc w:val="center"/>
              <w:rPr>
                <w:b/>
                <w:sz w:val="22"/>
                <w:szCs w:val="22"/>
                <w:vertAlign w:val="superscript"/>
              </w:rPr>
            </w:pPr>
          </w:p>
        </w:tc>
        <w:tc>
          <w:tcPr>
            <w:tcW w:w="1091" w:type="dxa"/>
          </w:tcPr>
          <w:p w:rsidR="00C87F60" w:rsidRPr="004D6571" w:rsidRDefault="00C87F60" w:rsidP="00B03617">
            <w:pPr>
              <w:pStyle w:val="Default"/>
              <w:jc w:val="center"/>
              <w:rPr>
                <w:b/>
                <w:sz w:val="22"/>
                <w:szCs w:val="22"/>
                <w:vertAlign w:val="superscript"/>
              </w:rPr>
            </w:pPr>
          </w:p>
        </w:tc>
        <w:tc>
          <w:tcPr>
            <w:tcW w:w="774" w:type="dxa"/>
          </w:tcPr>
          <w:p w:rsidR="00C87F60" w:rsidRPr="004D6571" w:rsidRDefault="00C87F60" w:rsidP="00B03617">
            <w:pPr>
              <w:pStyle w:val="Default"/>
              <w:jc w:val="center"/>
              <w:rPr>
                <w:b/>
                <w:sz w:val="22"/>
                <w:szCs w:val="22"/>
                <w:vertAlign w:val="superscript"/>
              </w:rPr>
            </w:pPr>
          </w:p>
        </w:tc>
        <w:tc>
          <w:tcPr>
            <w:tcW w:w="1091" w:type="dxa"/>
          </w:tcPr>
          <w:p w:rsidR="00C87F60" w:rsidRPr="004D6571" w:rsidRDefault="00C87F60" w:rsidP="00B03617">
            <w:pPr>
              <w:pStyle w:val="Default"/>
              <w:jc w:val="center"/>
              <w:rPr>
                <w:b/>
                <w:sz w:val="22"/>
                <w:szCs w:val="22"/>
                <w:vertAlign w:val="superscript"/>
              </w:rPr>
            </w:pPr>
          </w:p>
        </w:tc>
        <w:tc>
          <w:tcPr>
            <w:tcW w:w="774" w:type="dxa"/>
          </w:tcPr>
          <w:p w:rsidR="00C87F60" w:rsidRPr="004D6571" w:rsidRDefault="00C87F60" w:rsidP="00B03617">
            <w:pPr>
              <w:pStyle w:val="Default"/>
              <w:jc w:val="center"/>
              <w:rPr>
                <w:b/>
                <w:sz w:val="22"/>
                <w:szCs w:val="22"/>
                <w:vertAlign w:val="superscript"/>
              </w:rPr>
            </w:pPr>
          </w:p>
        </w:tc>
      </w:tr>
      <w:tr w:rsidR="00C87F60" w:rsidTr="00B03617">
        <w:tc>
          <w:tcPr>
            <w:tcW w:w="879" w:type="dxa"/>
          </w:tcPr>
          <w:p w:rsidR="00C87F60" w:rsidRPr="004D6571" w:rsidRDefault="00C87F60" w:rsidP="00B03617">
            <w:pPr>
              <w:pStyle w:val="Default"/>
              <w:jc w:val="center"/>
              <w:rPr>
                <w:sz w:val="16"/>
                <w:szCs w:val="16"/>
                <w:vertAlign w:val="superscript"/>
              </w:rPr>
            </w:pPr>
            <w:r w:rsidRPr="004D6571">
              <w:rPr>
                <w:sz w:val="16"/>
                <w:szCs w:val="16"/>
                <w:vertAlign w:val="superscript"/>
              </w:rPr>
              <w:t>за счет налоговых  неналоговых доходов, поступлений нецелевого характера</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30 145 545,06</w:t>
            </w:r>
          </w:p>
        </w:tc>
        <w:tc>
          <w:tcPr>
            <w:tcW w:w="1091" w:type="dxa"/>
          </w:tcPr>
          <w:p w:rsidR="00C87F60" w:rsidRPr="004D6571" w:rsidRDefault="00323899" w:rsidP="00B03617">
            <w:pPr>
              <w:pStyle w:val="Default"/>
              <w:jc w:val="center"/>
              <w:rPr>
                <w:sz w:val="22"/>
                <w:szCs w:val="22"/>
                <w:vertAlign w:val="superscript"/>
              </w:rPr>
            </w:pPr>
            <w:r>
              <w:rPr>
                <w:sz w:val="22"/>
                <w:szCs w:val="22"/>
                <w:vertAlign w:val="superscript"/>
              </w:rPr>
              <w:t>30 145 545,06</w:t>
            </w:r>
          </w:p>
        </w:tc>
        <w:tc>
          <w:tcPr>
            <w:tcW w:w="1091" w:type="dxa"/>
          </w:tcPr>
          <w:p w:rsidR="00C87F60" w:rsidRPr="004D6571" w:rsidRDefault="00C87F60" w:rsidP="001950A0">
            <w:pPr>
              <w:pStyle w:val="Default"/>
              <w:jc w:val="center"/>
              <w:rPr>
                <w:sz w:val="22"/>
                <w:szCs w:val="22"/>
                <w:vertAlign w:val="superscript"/>
              </w:rPr>
            </w:pPr>
            <w:r>
              <w:rPr>
                <w:sz w:val="22"/>
                <w:szCs w:val="22"/>
                <w:vertAlign w:val="superscript"/>
              </w:rPr>
              <w:t>3</w:t>
            </w:r>
            <w:r w:rsidR="001950A0">
              <w:rPr>
                <w:sz w:val="22"/>
                <w:szCs w:val="22"/>
                <w:vertAlign w:val="superscript"/>
              </w:rPr>
              <w:t>7</w:t>
            </w:r>
            <w:r>
              <w:rPr>
                <w:sz w:val="22"/>
                <w:szCs w:val="22"/>
                <w:vertAlign w:val="superscript"/>
              </w:rPr>
              <w:t> 510 338,70</w:t>
            </w:r>
          </w:p>
        </w:tc>
        <w:tc>
          <w:tcPr>
            <w:tcW w:w="923" w:type="dxa"/>
          </w:tcPr>
          <w:p w:rsidR="00C87F60" w:rsidRPr="004D6571" w:rsidRDefault="00323899" w:rsidP="00B03617">
            <w:pPr>
              <w:pStyle w:val="Default"/>
              <w:jc w:val="center"/>
              <w:rPr>
                <w:sz w:val="22"/>
                <w:szCs w:val="22"/>
                <w:vertAlign w:val="superscript"/>
              </w:rPr>
            </w:pPr>
            <w:r>
              <w:rPr>
                <w:sz w:val="22"/>
                <w:szCs w:val="22"/>
                <w:vertAlign w:val="superscript"/>
              </w:rPr>
              <w:t>104,53</w:t>
            </w:r>
          </w:p>
        </w:tc>
        <w:tc>
          <w:tcPr>
            <w:tcW w:w="766" w:type="dxa"/>
          </w:tcPr>
          <w:p w:rsidR="00C87F60" w:rsidRPr="004D6571" w:rsidRDefault="00E6668F" w:rsidP="001950A0">
            <w:pPr>
              <w:pStyle w:val="Default"/>
              <w:jc w:val="center"/>
              <w:rPr>
                <w:sz w:val="22"/>
                <w:szCs w:val="22"/>
                <w:vertAlign w:val="superscript"/>
              </w:rPr>
            </w:pPr>
            <w:r>
              <w:rPr>
                <w:sz w:val="22"/>
                <w:szCs w:val="22"/>
                <w:vertAlign w:val="superscript"/>
              </w:rPr>
              <w:t>1</w:t>
            </w:r>
            <w:r w:rsidR="001950A0">
              <w:rPr>
                <w:sz w:val="22"/>
                <w:szCs w:val="22"/>
                <w:vertAlign w:val="superscript"/>
              </w:rPr>
              <w:t>2</w:t>
            </w:r>
            <w:r>
              <w:rPr>
                <w:sz w:val="22"/>
                <w:szCs w:val="22"/>
                <w:vertAlign w:val="superscript"/>
              </w:rPr>
              <w:t>4,</w:t>
            </w:r>
            <w:r w:rsidR="001950A0">
              <w:rPr>
                <w:sz w:val="22"/>
                <w:szCs w:val="22"/>
                <w:vertAlign w:val="superscript"/>
              </w:rPr>
              <w:t>4</w:t>
            </w:r>
            <w:r>
              <w:rPr>
                <w:sz w:val="22"/>
                <w:szCs w:val="22"/>
                <w:vertAlign w:val="superscript"/>
              </w:rPr>
              <w:t>3</w:t>
            </w:r>
          </w:p>
        </w:tc>
        <w:tc>
          <w:tcPr>
            <w:tcW w:w="1091" w:type="dxa"/>
          </w:tcPr>
          <w:p w:rsidR="00C87F60" w:rsidRPr="004D6571" w:rsidRDefault="00C87F60" w:rsidP="00323899">
            <w:pPr>
              <w:pStyle w:val="Default"/>
              <w:jc w:val="center"/>
              <w:rPr>
                <w:sz w:val="22"/>
                <w:szCs w:val="22"/>
                <w:vertAlign w:val="superscript"/>
              </w:rPr>
            </w:pPr>
            <w:r>
              <w:rPr>
                <w:sz w:val="22"/>
                <w:szCs w:val="22"/>
                <w:vertAlign w:val="superscript"/>
              </w:rPr>
              <w:t>32 84</w:t>
            </w:r>
            <w:r w:rsidR="00323899">
              <w:rPr>
                <w:sz w:val="22"/>
                <w:szCs w:val="22"/>
                <w:vertAlign w:val="superscript"/>
              </w:rPr>
              <w:t>9</w:t>
            </w:r>
            <w:r>
              <w:rPr>
                <w:sz w:val="22"/>
                <w:szCs w:val="22"/>
                <w:vertAlign w:val="superscript"/>
              </w:rPr>
              <w:t> 190,34</w:t>
            </w:r>
          </w:p>
        </w:tc>
        <w:tc>
          <w:tcPr>
            <w:tcW w:w="774" w:type="dxa"/>
          </w:tcPr>
          <w:p w:rsidR="00C87F60" w:rsidRPr="004D6571" w:rsidRDefault="00E6668F" w:rsidP="00B03617">
            <w:pPr>
              <w:pStyle w:val="Default"/>
              <w:jc w:val="center"/>
              <w:rPr>
                <w:sz w:val="22"/>
                <w:szCs w:val="22"/>
                <w:vertAlign w:val="superscript"/>
              </w:rPr>
            </w:pPr>
            <w:r>
              <w:rPr>
                <w:sz w:val="22"/>
                <w:szCs w:val="22"/>
                <w:vertAlign w:val="superscript"/>
              </w:rPr>
              <w:t>87,57</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35 112 283,34</w:t>
            </w:r>
          </w:p>
        </w:tc>
        <w:tc>
          <w:tcPr>
            <w:tcW w:w="774" w:type="dxa"/>
          </w:tcPr>
          <w:p w:rsidR="00C87F60" w:rsidRPr="004D6571" w:rsidRDefault="00E6668F" w:rsidP="00B03617">
            <w:pPr>
              <w:pStyle w:val="Default"/>
              <w:jc w:val="center"/>
              <w:rPr>
                <w:sz w:val="22"/>
                <w:szCs w:val="22"/>
                <w:vertAlign w:val="superscript"/>
              </w:rPr>
            </w:pPr>
            <w:r>
              <w:rPr>
                <w:sz w:val="22"/>
                <w:szCs w:val="22"/>
                <w:vertAlign w:val="superscript"/>
              </w:rPr>
              <w:t>106,89</w:t>
            </w:r>
          </w:p>
        </w:tc>
      </w:tr>
      <w:tr w:rsidR="00C87F60" w:rsidTr="00B03617">
        <w:tc>
          <w:tcPr>
            <w:tcW w:w="879" w:type="dxa"/>
          </w:tcPr>
          <w:p w:rsidR="00C87F60" w:rsidRPr="004D6571" w:rsidRDefault="00C87F60" w:rsidP="00B03617">
            <w:pPr>
              <w:pStyle w:val="Default"/>
              <w:jc w:val="center"/>
              <w:rPr>
                <w:sz w:val="16"/>
                <w:szCs w:val="16"/>
                <w:vertAlign w:val="superscript"/>
              </w:rPr>
            </w:pPr>
            <w:r w:rsidRPr="004D6571">
              <w:rPr>
                <w:sz w:val="16"/>
                <w:szCs w:val="16"/>
                <w:vertAlign w:val="superscript"/>
              </w:rPr>
              <w:t xml:space="preserve">за счет поступлений целевого характера </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731 158,00</w:t>
            </w:r>
          </w:p>
        </w:tc>
        <w:tc>
          <w:tcPr>
            <w:tcW w:w="1091" w:type="dxa"/>
          </w:tcPr>
          <w:p w:rsidR="00C87F60" w:rsidRPr="004D6571" w:rsidRDefault="00323899" w:rsidP="00B03617">
            <w:pPr>
              <w:pStyle w:val="Default"/>
              <w:jc w:val="center"/>
              <w:rPr>
                <w:sz w:val="22"/>
                <w:szCs w:val="22"/>
                <w:vertAlign w:val="superscript"/>
              </w:rPr>
            </w:pPr>
            <w:r>
              <w:rPr>
                <w:sz w:val="22"/>
                <w:szCs w:val="22"/>
                <w:vertAlign w:val="superscript"/>
              </w:rPr>
              <w:t>21 330 209,80</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923"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766"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774"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774" w:type="dxa"/>
          </w:tcPr>
          <w:p w:rsidR="00C87F60" w:rsidRPr="004D6571" w:rsidRDefault="00C87F60" w:rsidP="00B03617">
            <w:pPr>
              <w:pStyle w:val="Default"/>
              <w:jc w:val="center"/>
              <w:rPr>
                <w:sz w:val="22"/>
                <w:szCs w:val="22"/>
                <w:vertAlign w:val="superscript"/>
              </w:rPr>
            </w:pPr>
            <w:r>
              <w:rPr>
                <w:sz w:val="22"/>
                <w:szCs w:val="22"/>
                <w:vertAlign w:val="superscript"/>
              </w:rPr>
              <w:t>-</w:t>
            </w:r>
          </w:p>
        </w:tc>
      </w:tr>
      <w:tr w:rsidR="00C87F60" w:rsidTr="00B03617">
        <w:tc>
          <w:tcPr>
            <w:tcW w:w="879" w:type="dxa"/>
          </w:tcPr>
          <w:p w:rsidR="00C87F60" w:rsidRPr="004D6571" w:rsidRDefault="00C87F60" w:rsidP="00B03617">
            <w:pPr>
              <w:pStyle w:val="Default"/>
              <w:jc w:val="center"/>
              <w:rPr>
                <w:sz w:val="16"/>
                <w:szCs w:val="16"/>
                <w:vertAlign w:val="superscript"/>
              </w:rPr>
            </w:pPr>
            <w:r w:rsidRPr="004D6571">
              <w:rPr>
                <w:sz w:val="16"/>
                <w:szCs w:val="16"/>
                <w:vertAlign w:val="superscript"/>
              </w:rPr>
              <w:t>условно утверждаемые</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w:t>
            </w:r>
          </w:p>
        </w:tc>
        <w:tc>
          <w:tcPr>
            <w:tcW w:w="1091" w:type="dxa"/>
          </w:tcPr>
          <w:p w:rsidR="00C87F60" w:rsidRPr="004D6571" w:rsidRDefault="00323899" w:rsidP="00B03617">
            <w:pPr>
              <w:pStyle w:val="Default"/>
              <w:jc w:val="center"/>
              <w:rPr>
                <w:b/>
                <w:sz w:val="22"/>
                <w:szCs w:val="22"/>
                <w:vertAlign w:val="superscript"/>
              </w:rPr>
            </w:pPr>
            <w:r>
              <w:rPr>
                <w:b/>
                <w:sz w:val="22"/>
                <w:szCs w:val="22"/>
                <w:vertAlign w:val="superscript"/>
              </w:rPr>
              <w:t>-</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w:t>
            </w:r>
          </w:p>
        </w:tc>
        <w:tc>
          <w:tcPr>
            <w:tcW w:w="923" w:type="dxa"/>
          </w:tcPr>
          <w:p w:rsidR="00C87F60" w:rsidRPr="004D6571" w:rsidRDefault="00C87F60" w:rsidP="00B03617">
            <w:pPr>
              <w:pStyle w:val="Default"/>
              <w:jc w:val="center"/>
              <w:rPr>
                <w:b/>
                <w:sz w:val="22"/>
                <w:szCs w:val="22"/>
                <w:vertAlign w:val="superscript"/>
              </w:rPr>
            </w:pPr>
            <w:r>
              <w:rPr>
                <w:b/>
                <w:sz w:val="22"/>
                <w:szCs w:val="22"/>
                <w:vertAlign w:val="superscript"/>
              </w:rPr>
              <w:t>-</w:t>
            </w:r>
          </w:p>
        </w:tc>
        <w:tc>
          <w:tcPr>
            <w:tcW w:w="766" w:type="dxa"/>
          </w:tcPr>
          <w:p w:rsidR="00C87F60" w:rsidRPr="004D6571" w:rsidRDefault="00C87F60" w:rsidP="00B03617">
            <w:pPr>
              <w:pStyle w:val="Default"/>
              <w:jc w:val="center"/>
              <w:rPr>
                <w:b/>
                <w:sz w:val="22"/>
                <w:szCs w:val="22"/>
                <w:vertAlign w:val="superscript"/>
              </w:rPr>
            </w:pPr>
            <w:r>
              <w:rPr>
                <w:b/>
                <w:sz w:val="22"/>
                <w:szCs w:val="22"/>
                <w:vertAlign w:val="superscript"/>
              </w:rPr>
              <w:t>-</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821 230,00</w:t>
            </w:r>
          </w:p>
        </w:tc>
        <w:tc>
          <w:tcPr>
            <w:tcW w:w="774" w:type="dxa"/>
          </w:tcPr>
          <w:p w:rsidR="00C87F60" w:rsidRPr="004D6571" w:rsidRDefault="00C87F60" w:rsidP="00B03617">
            <w:pPr>
              <w:pStyle w:val="Default"/>
              <w:jc w:val="center"/>
              <w:rPr>
                <w:sz w:val="22"/>
                <w:szCs w:val="22"/>
                <w:vertAlign w:val="superscript"/>
              </w:rPr>
            </w:pPr>
            <w:r>
              <w:rPr>
                <w:sz w:val="22"/>
                <w:szCs w:val="22"/>
                <w:vertAlign w:val="superscript"/>
              </w:rPr>
              <w:t>-</w:t>
            </w:r>
          </w:p>
        </w:tc>
        <w:tc>
          <w:tcPr>
            <w:tcW w:w="1091" w:type="dxa"/>
          </w:tcPr>
          <w:p w:rsidR="00C87F60" w:rsidRPr="004D6571" w:rsidRDefault="00C87F60" w:rsidP="00B03617">
            <w:pPr>
              <w:pStyle w:val="Default"/>
              <w:jc w:val="center"/>
              <w:rPr>
                <w:sz w:val="22"/>
                <w:szCs w:val="22"/>
                <w:vertAlign w:val="superscript"/>
              </w:rPr>
            </w:pPr>
            <w:r>
              <w:rPr>
                <w:sz w:val="22"/>
                <w:szCs w:val="22"/>
                <w:vertAlign w:val="superscript"/>
              </w:rPr>
              <w:t>1 755 615,00</w:t>
            </w:r>
          </w:p>
        </w:tc>
        <w:tc>
          <w:tcPr>
            <w:tcW w:w="774" w:type="dxa"/>
          </w:tcPr>
          <w:p w:rsidR="00C87F60" w:rsidRPr="004D6571" w:rsidRDefault="00E6668F" w:rsidP="00B03617">
            <w:pPr>
              <w:pStyle w:val="Default"/>
              <w:jc w:val="center"/>
              <w:rPr>
                <w:b/>
                <w:sz w:val="22"/>
                <w:szCs w:val="22"/>
                <w:vertAlign w:val="superscript"/>
              </w:rPr>
            </w:pPr>
            <w:r>
              <w:rPr>
                <w:b/>
                <w:sz w:val="22"/>
                <w:szCs w:val="22"/>
                <w:vertAlign w:val="superscript"/>
              </w:rPr>
              <w:t>213,78</w:t>
            </w:r>
          </w:p>
        </w:tc>
      </w:tr>
      <w:tr w:rsidR="00C87F60" w:rsidTr="00B03617">
        <w:tc>
          <w:tcPr>
            <w:tcW w:w="879" w:type="dxa"/>
          </w:tcPr>
          <w:p w:rsidR="00C87F60" w:rsidRPr="004D6571" w:rsidRDefault="00C87F60" w:rsidP="00B03617">
            <w:pPr>
              <w:pStyle w:val="Default"/>
              <w:jc w:val="center"/>
              <w:rPr>
                <w:b/>
                <w:sz w:val="16"/>
                <w:szCs w:val="16"/>
                <w:vertAlign w:val="superscript"/>
              </w:rPr>
            </w:pPr>
            <w:r w:rsidRPr="004D6571">
              <w:rPr>
                <w:b/>
                <w:sz w:val="16"/>
                <w:szCs w:val="16"/>
                <w:vertAlign w:val="superscript"/>
              </w:rPr>
              <w:t>Дефицит (-), профицит (+)</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0,00</w:t>
            </w:r>
          </w:p>
        </w:tc>
        <w:tc>
          <w:tcPr>
            <w:tcW w:w="1091" w:type="dxa"/>
          </w:tcPr>
          <w:p w:rsidR="00C87F60" w:rsidRPr="004D6571" w:rsidRDefault="00323899" w:rsidP="00B03617">
            <w:pPr>
              <w:pStyle w:val="Default"/>
              <w:jc w:val="center"/>
              <w:rPr>
                <w:b/>
                <w:sz w:val="22"/>
                <w:szCs w:val="22"/>
                <w:vertAlign w:val="superscript"/>
              </w:rPr>
            </w:pPr>
            <w:r>
              <w:rPr>
                <w:b/>
                <w:sz w:val="22"/>
                <w:szCs w:val="22"/>
                <w:vertAlign w:val="superscript"/>
              </w:rPr>
              <w:t>-1 454 398,21</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0,00</w:t>
            </w:r>
          </w:p>
        </w:tc>
        <w:tc>
          <w:tcPr>
            <w:tcW w:w="923" w:type="dxa"/>
          </w:tcPr>
          <w:p w:rsidR="00C87F60" w:rsidRPr="004D6571" w:rsidRDefault="00E6668F" w:rsidP="00B03617">
            <w:pPr>
              <w:pStyle w:val="Default"/>
              <w:jc w:val="center"/>
              <w:rPr>
                <w:b/>
                <w:sz w:val="22"/>
                <w:szCs w:val="22"/>
                <w:vertAlign w:val="superscript"/>
              </w:rPr>
            </w:pPr>
            <w:r>
              <w:rPr>
                <w:b/>
                <w:sz w:val="22"/>
                <w:szCs w:val="22"/>
                <w:vertAlign w:val="superscript"/>
              </w:rPr>
              <w:t>-</w:t>
            </w:r>
          </w:p>
        </w:tc>
        <w:tc>
          <w:tcPr>
            <w:tcW w:w="766" w:type="dxa"/>
          </w:tcPr>
          <w:p w:rsidR="00C87F60" w:rsidRPr="004D6571" w:rsidRDefault="00E6668F" w:rsidP="00B03617">
            <w:pPr>
              <w:pStyle w:val="Default"/>
              <w:jc w:val="center"/>
              <w:rPr>
                <w:b/>
                <w:sz w:val="22"/>
                <w:szCs w:val="22"/>
                <w:vertAlign w:val="superscript"/>
              </w:rPr>
            </w:pPr>
            <w:r>
              <w:rPr>
                <w:b/>
                <w:sz w:val="22"/>
                <w:szCs w:val="22"/>
                <w:vertAlign w:val="superscript"/>
              </w:rPr>
              <w:t>-</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0,00</w:t>
            </w:r>
          </w:p>
        </w:tc>
        <w:tc>
          <w:tcPr>
            <w:tcW w:w="774" w:type="dxa"/>
          </w:tcPr>
          <w:p w:rsidR="00C87F60" w:rsidRPr="004D6571" w:rsidRDefault="00E6668F" w:rsidP="00B03617">
            <w:pPr>
              <w:pStyle w:val="Default"/>
              <w:jc w:val="center"/>
              <w:rPr>
                <w:b/>
                <w:sz w:val="22"/>
                <w:szCs w:val="22"/>
                <w:vertAlign w:val="superscript"/>
              </w:rPr>
            </w:pPr>
            <w:r>
              <w:rPr>
                <w:b/>
                <w:sz w:val="22"/>
                <w:szCs w:val="22"/>
                <w:vertAlign w:val="superscript"/>
              </w:rPr>
              <w:t>-</w:t>
            </w:r>
          </w:p>
        </w:tc>
        <w:tc>
          <w:tcPr>
            <w:tcW w:w="1091" w:type="dxa"/>
          </w:tcPr>
          <w:p w:rsidR="00C87F60" w:rsidRPr="004D6571" w:rsidRDefault="00C87F60" w:rsidP="00B03617">
            <w:pPr>
              <w:pStyle w:val="Default"/>
              <w:jc w:val="center"/>
              <w:rPr>
                <w:b/>
                <w:sz w:val="22"/>
                <w:szCs w:val="22"/>
                <w:vertAlign w:val="superscript"/>
              </w:rPr>
            </w:pPr>
            <w:r>
              <w:rPr>
                <w:b/>
                <w:sz w:val="22"/>
                <w:szCs w:val="22"/>
                <w:vertAlign w:val="superscript"/>
              </w:rPr>
              <w:t>0,00</w:t>
            </w:r>
          </w:p>
        </w:tc>
        <w:tc>
          <w:tcPr>
            <w:tcW w:w="774" w:type="dxa"/>
          </w:tcPr>
          <w:p w:rsidR="00C87F60" w:rsidRPr="004D6571" w:rsidRDefault="00E6668F" w:rsidP="00B03617">
            <w:pPr>
              <w:pStyle w:val="Default"/>
              <w:jc w:val="center"/>
              <w:rPr>
                <w:b/>
                <w:sz w:val="22"/>
                <w:szCs w:val="22"/>
                <w:vertAlign w:val="superscript"/>
              </w:rPr>
            </w:pPr>
            <w:r>
              <w:rPr>
                <w:b/>
                <w:sz w:val="22"/>
                <w:szCs w:val="22"/>
                <w:vertAlign w:val="superscript"/>
              </w:rPr>
              <w:t>-</w:t>
            </w:r>
          </w:p>
        </w:tc>
      </w:tr>
    </w:tbl>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бюджета на 202</w:t>
      </w:r>
      <w:r w:rsidR="00332CC5">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соответствует установленным БК РФ принципам сбалансированности бюджета (ст.33 БК РФ) и общего (совокупного) покрытия расходов бюджета (ст.35 БК РФ).</w:t>
      </w:r>
    </w:p>
    <w:p w:rsidR="007039C9" w:rsidRDefault="00332CC5">
      <w:pPr>
        <w:widowControl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В плановый период 2025 года предлагается доход в сумме 32 849 190,34 рублей, что составит 87,57 % значений показателей доходной части 2024 года, т.е ниже на 4 661 148,36 рублей, расходная часть бюджета планируется в таких же значениях. В 2026 году доходы запланированы в сумме 35 112 283,34 рублей, что на 6,89% превышает значения 2025 года или в абсолютном выражении на 2 263 093,00 рублей. </w:t>
      </w:r>
    </w:p>
    <w:p w:rsidR="003637E9" w:rsidRDefault="003637E9">
      <w:pPr>
        <w:widowControl w:val="0"/>
        <w:spacing w:after="0" w:line="240" w:lineRule="auto"/>
        <w:ind w:firstLine="709"/>
        <w:jc w:val="both"/>
        <w:rPr>
          <w:rFonts w:ascii="Times New Roman" w:hAnsi="Times New Roman" w:cs="Times New Roman"/>
          <w:sz w:val="24"/>
          <w:szCs w:val="24"/>
        </w:rPr>
      </w:pPr>
      <w:r w:rsidRPr="003637E9">
        <w:rPr>
          <w:rFonts w:ascii="Times New Roman" w:hAnsi="Times New Roman" w:cs="Times New Roman"/>
          <w:sz w:val="24"/>
          <w:szCs w:val="24"/>
        </w:rPr>
        <w:t>Бюджет на 202</w:t>
      </w:r>
      <w:r w:rsidR="00332CC5">
        <w:rPr>
          <w:rFonts w:ascii="Times New Roman" w:hAnsi="Times New Roman" w:cs="Times New Roman"/>
          <w:sz w:val="24"/>
          <w:szCs w:val="24"/>
        </w:rPr>
        <w:t>4</w:t>
      </w:r>
      <w:r w:rsidRPr="003637E9">
        <w:rPr>
          <w:rFonts w:ascii="Times New Roman" w:hAnsi="Times New Roman" w:cs="Times New Roman"/>
          <w:sz w:val="24"/>
          <w:szCs w:val="24"/>
        </w:rPr>
        <w:t xml:space="preserve"> - 202</w:t>
      </w:r>
      <w:r w:rsidR="00332CC5">
        <w:rPr>
          <w:rFonts w:ascii="Times New Roman" w:hAnsi="Times New Roman" w:cs="Times New Roman"/>
          <w:sz w:val="24"/>
          <w:szCs w:val="24"/>
        </w:rPr>
        <w:t>6</w:t>
      </w:r>
      <w:r w:rsidRPr="003637E9">
        <w:rPr>
          <w:rFonts w:ascii="Times New Roman" w:hAnsi="Times New Roman" w:cs="Times New Roman"/>
          <w:sz w:val="24"/>
          <w:szCs w:val="24"/>
        </w:rPr>
        <w:t xml:space="preserve"> годы  планируется без дефицита.</w:t>
      </w:r>
    </w:p>
    <w:p w:rsidR="00C94D73" w:rsidRDefault="00C94D73" w:rsidP="00C94D73">
      <w:pPr>
        <w:pStyle w:val="Default"/>
        <w:ind w:firstLine="709"/>
        <w:jc w:val="both"/>
      </w:pPr>
      <w:r>
        <w:t xml:space="preserve">В соответствии со статьей 184.1 БК, </w:t>
      </w:r>
      <w:r w:rsidRPr="000A06AB">
        <w:t>статьей 11 Положения о бюджетном процессе</w:t>
      </w:r>
      <w:r>
        <w:t xml:space="preserve"> в Полтавском городском поселении, в составе расходов местного бюджета установлен общий объем условно утверждаемых расходов в размере 821 230,00 рублей на первый год планового периода и 1 755 615,00 рублей на второй год планового периода, что составляет соответственно не менее 2,5% и 5,0% от общего объема расходов (без учета расходов, предусмотренных за счет межбюджетных трансфертов целевого характера).</w:t>
      </w:r>
    </w:p>
    <w:p w:rsidR="00C94D73" w:rsidRDefault="00C94D73" w:rsidP="00C94D73">
      <w:pPr>
        <w:pStyle w:val="Default"/>
        <w:ind w:firstLine="709"/>
        <w:jc w:val="both"/>
      </w:pPr>
      <w:r>
        <w:t xml:space="preserve">Ключевой задачей  при подготовке проекта бюджета явилось обеспечение финансирования мероприятий муниципальных программ.  </w:t>
      </w:r>
    </w:p>
    <w:p w:rsidR="00C94D73" w:rsidRPr="003637E9" w:rsidRDefault="00C94D73">
      <w:pPr>
        <w:widowControl w:val="0"/>
        <w:spacing w:after="0" w:line="240" w:lineRule="auto"/>
        <w:ind w:firstLine="709"/>
        <w:jc w:val="both"/>
        <w:rPr>
          <w:rFonts w:ascii="Times New Roman" w:hAnsi="Times New Roman" w:cs="Times New Roman"/>
          <w:sz w:val="24"/>
          <w:szCs w:val="24"/>
        </w:rPr>
      </w:pPr>
    </w:p>
    <w:p w:rsidR="007039C9" w:rsidRDefault="003F6358">
      <w:pPr>
        <w:pStyle w:val="ae"/>
        <w:spacing w:after="0" w:line="240" w:lineRule="auto"/>
        <w:ind w:left="0" w:firstLine="709"/>
        <w:jc w:val="center"/>
        <w:rPr>
          <w:rFonts w:ascii="Times New Roman" w:hAnsi="Times New Roman"/>
          <w:b/>
          <w:sz w:val="24"/>
          <w:szCs w:val="24"/>
        </w:rPr>
      </w:pPr>
      <w:r>
        <w:rPr>
          <w:rFonts w:ascii="Times New Roman" w:hAnsi="Times New Roman"/>
          <w:b/>
          <w:sz w:val="24"/>
          <w:szCs w:val="24"/>
        </w:rPr>
        <w:t>3.1. Доходы бюджета.</w:t>
      </w:r>
    </w:p>
    <w:p w:rsidR="007039C9" w:rsidRDefault="003F6358">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налоговых и неналоговых доходов местного бюджета осуществлялось на основе прогноза социально-экономического развития Полтавского городского поселения Полтавского муниципального района, основных направлений </w:t>
      </w:r>
      <w:r>
        <w:rPr>
          <w:rFonts w:ascii="Times New Roman" w:hAnsi="Times New Roman" w:cs="Times New Roman"/>
          <w:sz w:val="24"/>
          <w:szCs w:val="24"/>
        </w:rPr>
        <w:lastRenderedPageBreak/>
        <w:t>бюджетной и  налоговой политики, налогового и бюджетного законодательства, действовавшего на момент составления проекта бюджета и ожидаемой оценки поступлений по налоговым и неналоговым доходам в бюджет за 202</w:t>
      </w:r>
      <w:r w:rsidR="00310287">
        <w:rPr>
          <w:rFonts w:ascii="Times New Roman" w:hAnsi="Times New Roman" w:cs="Times New Roman"/>
          <w:sz w:val="24"/>
          <w:szCs w:val="24"/>
        </w:rPr>
        <w:t>3</w:t>
      </w:r>
      <w:r>
        <w:rPr>
          <w:rFonts w:ascii="Times New Roman" w:hAnsi="Times New Roman" w:cs="Times New Roman"/>
          <w:sz w:val="24"/>
          <w:szCs w:val="24"/>
        </w:rPr>
        <w:t xml:space="preserve"> г.</w:t>
      </w:r>
    </w:p>
    <w:p w:rsidR="007039C9" w:rsidRDefault="003F6358">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проектом решения виды налоговых и неналоговых доходов местного бюджета соответствуют перечню, установленному БК РФ. </w:t>
      </w:r>
      <w:bookmarkStart w:id="2" w:name="OLE_LINK4"/>
      <w:bookmarkStart w:id="3" w:name="OLE_LINK5"/>
      <w:bookmarkEnd w:id="2"/>
      <w:bookmarkEnd w:id="3"/>
    </w:p>
    <w:p w:rsidR="007039C9" w:rsidRDefault="003F6358">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160.1 БК РФ прогноз налоговых и неналоговых доходов на 202</w:t>
      </w:r>
      <w:r w:rsidR="00310287">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310287">
        <w:rPr>
          <w:rFonts w:ascii="Times New Roman" w:hAnsi="Times New Roman" w:cs="Times New Roman"/>
          <w:sz w:val="24"/>
          <w:szCs w:val="24"/>
        </w:rPr>
        <w:t>5 и 2026</w:t>
      </w:r>
      <w:r>
        <w:rPr>
          <w:rFonts w:ascii="Times New Roman" w:hAnsi="Times New Roman" w:cs="Times New Roman"/>
          <w:sz w:val="24"/>
          <w:szCs w:val="24"/>
        </w:rPr>
        <w:t xml:space="preserve"> годов сформирован в объемах, спрогнозированных главными администраторами доходов местного бюджета по утвержденным им методикам.</w:t>
      </w:r>
    </w:p>
    <w:p w:rsidR="007039C9" w:rsidRDefault="003F6358">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доходов представлена в следующей таблице</w:t>
      </w:r>
    </w:p>
    <w:tbl>
      <w:tblPr>
        <w:tblStyle w:val="af3"/>
        <w:tblW w:w="0" w:type="auto"/>
        <w:tblLayout w:type="fixed"/>
        <w:tblLook w:val="04A0"/>
      </w:tblPr>
      <w:tblGrid>
        <w:gridCol w:w="1101"/>
        <w:gridCol w:w="992"/>
        <w:gridCol w:w="850"/>
        <w:gridCol w:w="851"/>
        <w:gridCol w:w="567"/>
        <w:gridCol w:w="567"/>
        <w:gridCol w:w="567"/>
        <w:gridCol w:w="992"/>
        <w:gridCol w:w="567"/>
        <w:gridCol w:w="567"/>
        <w:gridCol w:w="851"/>
        <w:gridCol w:w="567"/>
        <w:gridCol w:w="532"/>
      </w:tblGrid>
      <w:tr w:rsidR="00310287" w:rsidRPr="0096495B" w:rsidTr="00401DA9">
        <w:tc>
          <w:tcPr>
            <w:tcW w:w="1101" w:type="dxa"/>
            <w:vMerge w:val="restart"/>
          </w:tcPr>
          <w:p w:rsidR="00310287" w:rsidRPr="001650F3" w:rsidRDefault="00310287" w:rsidP="00310287">
            <w:pPr>
              <w:pStyle w:val="Default"/>
              <w:jc w:val="center"/>
              <w:rPr>
                <w:sz w:val="16"/>
                <w:szCs w:val="16"/>
                <w:vertAlign w:val="superscript"/>
              </w:rPr>
            </w:pPr>
            <w:r w:rsidRPr="001650F3">
              <w:rPr>
                <w:sz w:val="16"/>
                <w:szCs w:val="16"/>
                <w:vertAlign w:val="superscript"/>
              </w:rPr>
              <w:t xml:space="preserve"> Наименование </w:t>
            </w:r>
            <w:r>
              <w:rPr>
                <w:sz w:val="16"/>
                <w:szCs w:val="16"/>
                <w:vertAlign w:val="superscript"/>
              </w:rPr>
              <w:t xml:space="preserve"> показателя</w:t>
            </w:r>
          </w:p>
        </w:tc>
        <w:tc>
          <w:tcPr>
            <w:tcW w:w="1842" w:type="dxa"/>
            <w:gridSpan w:val="2"/>
          </w:tcPr>
          <w:p w:rsidR="00310287" w:rsidRPr="0096495B" w:rsidRDefault="00310287" w:rsidP="00401DA9">
            <w:pPr>
              <w:pStyle w:val="Default"/>
              <w:jc w:val="center"/>
              <w:rPr>
                <w:sz w:val="16"/>
                <w:szCs w:val="16"/>
                <w:vertAlign w:val="superscript"/>
              </w:rPr>
            </w:pPr>
            <w:r>
              <w:rPr>
                <w:sz w:val="16"/>
                <w:szCs w:val="16"/>
                <w:vertAlign w:val="superscript"/>
              </w:rPr>
              <w:t>Утверждено на 2023 год</w:t>
            </w:r>
          </w:p>
        </w:tc>
        <w:tc>
          <w:tcPr>
            <w:tcW w:w="6628" w:type="dxa"/>
            <w:gridSpan w:val="10"/>
          </w:tcPr>
          <w:p w:rsidR="00310287" w:rsidRPr="0096495B" w:rsidRDefault="00310287" w:rsidP="00401DA9">
            <w:pPr>
              <w:pStyle w:val="Default"/>
              <w:jc w:val="center"/>
              <w:rPr>
                <w:sz w:val="16"/>
                <w:szCs w:val="16"/>
                <w:vertAlign w:val="superscript"/>
              </w:rPr>
            </w:pPr>
            <w:r>
              <w:rPr>
                <w:sz w:val="16"/>
                <w:szCs w:val="16"/>
                <w:vertAlign w:val="superscript"/>
              </w:rPr>
              <w:t>Предусмотрено проектом решения</w:t>
            </w:r>
          </w:p>
        </w:tc>
      </w:tr>
      <w:tr w:rsidR="00310287" w:rsidRPr="0096495B" w:rsidTr="00401DA9">
        <w:tc>
          <w:tcPr>
            <w:tcW w:w="1101" w:type="dxa"/>
            <w:vMerge/>
          </w:tcPr>
          <w:p w:rsidR="00310287" w:rsidRPr="001650F3" w:rsidRDefault="00310287" w:rsidP="00401DA9">
            <w:pPr>
              <w:pStyle w:val="Default"/>
              <w:jc w:val="center"/>
              <w:rPr>
                <w:sz w:val="16"/>
                <w:szCs w:val="16"/>
                <w:vertAlign w:val="superscript"/>
              </w:rPr>
            </w:pPr>
          </w:p>
        </w:tc>
        <w:tc>
          <w:tcPr>
            <w:tcW w:w="992" w:type="dxa"/>
            <w:vMerge w:val="restart"/>
          </w:tcPr>
          <w:p w:rsidR="00310287" w:rsidRPr="0096495B" w:rsidRDefault="00310287" w:rsidP="00401DA9">
            <w:pPr>
              <w:pStyle w:val="Default"/>
              <w:jc w:val="center"/>
              <w:rPr>
                <w:sz w:val="16"/>
                <w:szCs w:val="16"/>
                <w:vertAlign w:val="superscript"/>
              </w:rPr>
            </w:pPr>
            <w:r>
              <w:rPr>
                <w:sz w:val="16"/>
                <w:szCs w:val="16"/>
                <w:vertAlign w:val="superscript"/>
              </w:rPr>
              <w:t>первоначальная редакция, рублей</w:t>
            </w:r>
          </w:p>
        </w:tc>
        <w:tc>
          <w:tcPr>
            <w:tcW w:w="850" w:type="dxa"/>
            <w:vMerge w:val="restart"/>
          </w:tcPr>
          <w:p w:rsidR="00310287" w:rsidRPr="0096495B" w:rsidRDefault="00310287" w:rsidP="00310287">
            <w:pPr>
              <w:pStyle w:val="Default"/>
              <w:jc w:val="center"/>
              <w:rPr>
                <w:sz w:val="16"/>
                <w:szCs w:val="16"/>
                <w:vertAlign w:val="superscript"/>
              </w:rPr>
            </w:pPr>
            <w:r>
              <w:rPr>
                <w:sz w:val="16"/>
                <w:szCs w:val="16"/>
                <w:vertAlign w:val="superscript"/>
              </w:rPr>
              <w:t>с учетом изменений (ред. от 29.09.2023г) рублей</w:t>
            </w:r>
          </w:p>
        </w:tc>
        <w:tc>
          <w:tcPr>
            <w:tcW w:w="2552" w:type="dxa"/>
            <w:gridSpan w:val="4"/>
          </w:tcPr>
          <w:p w:rsidR="00310287" w:rsidRPr="0096495B" w:rsidRDefault="00310287" w:rsidP="00401DA9">
            <w:pPr>
              <w:pStyle w:val="Default"/>
              <w:jc w:val="center"/>
              <w:rPr>
                <w:sz w:val="16"/>
                <w:szCs w:val="16"/>
                <w:vertAlign w:val="superscript"/>
              </w:rPr>
            </w:pPr>
            <w:r>
              <w:rPr>
                <w:sz w:val="16"/>
                <w:szCs w:val="16"/>
                <w:vertAlign w:val="superscript"/>
              </w:rPr>
              <w:t>на 2024 год</w:t>
            </w:r>
          </w:p>
        </w:tc>
        <w:tc>
          <w:tcPr>
            <w:tcW w:w="2126" w:type="dxa"/>
            <w:gridSpan w:val="3"/>
          </w:tcPr>
          <w:p w:rsidR="00310287" w:rsidRPr="0096495B" w:rsidRDefault="00310287" w:rsidP="00401DA9">
            <w:pPr>
              <w:pStyle w:val="Default"/>
              <w:jc w:val="center"/>
              <w:rPr>
                <w:sz w:val="16"/>
                <w:szCs w:val="16"/>
                <w:vertAlign w:val="superscript"/>
              </w:rPr>
            </w:pPr>
            <w:r>
              <w:rPr>
                <w:sz w:val="16"/>
                <w:szCs w:val="16"/>
                <w:vertAlign w:val="superscript"/>
              </w:rPr>
              <w:t>на 2025 год</w:t>
            </w:r>
          </w:p>
        </w:tc>
        <w:tc>
          <w:tcPr>
            <w:tcW w:w="1950" w:type="dxa"/>
            <w:gridSpan w:val="3"/>
          </w:tcPr>
          <w:p w:rsidR="00310287" w:rsidRPr="0096495B" w:rsidRDefault="00310287" w:rsidP="00401DA9">
            <w:pPr>
              <w:pStyle w:val="Default"/>
              <w:jc w:val="center"/>
              <w:rPr>
                <w:sz w:val="16"/>
                <w:szCs w:val="16"/>
                <w:vertAlign w:val="superscript"/>
              </w:rPr>
            </w:pPr>
            <w:r>
              <w:rPr>
                <w:sz w:val="16"/>
                <w:szCs w:val="16"/>
                <w:vertAlign w:val="superscript"/>
              </w:rPr>
              <w:t>на 2026 год</w:t>
            </w:r>
          </w:p>
        </w:tc>
      </w:tr>
      <w:tr w:rsidR="00310287" w:rsidRPr="0096495B" w:rsidTr="00401DA9">
        <w:trPr>
          <w:trHeight w:val="746"/>
        </w:trPr>
        <w:tc>
          <w:tcPr>
            <w:tcW w:w="1101" w:type="dxa"/>
            <w:vMerge/>
          </w:tcPr>
          <w:p w:rsidR="00310287" w:rsidRPr="001650F3" w:rsidRDefault="00310287" w:rsidP="00401DA9">
            <w:pPr>
              <w:pStyle w:val="Default"/>
              <w:jc w:val="center"/>
              <w:rPr>
                <w:sz w:val="16"/>
                <w:szCs w:val="16"/>
                <w:vertAlign w:val="superscript"/>
              </w:rPr>
            </w:pPr>
          </w:p>
        </w:tc>
        <w:tc>
          <w:tcPr>
            <w:tcW w:w="992" w:type="dxa"/>
            <w:vMerge/>
          </w:tcPr>
          <w:p w:rsidR="00310287" w:rsidRDefault="00310287" w:rsidP="00401DA9">
            <w:pPr>
              <w:pStyle w:val="Default"/>
              <w:jc w:val="center"/>
              <w:rPr>
                <w:sz w:val="16"/>
                <w:szCs w:val="16"/>
                <w:vertAlign w:val="superscript"/>
              </w:rPr>
            </w:pPr>
          </w:p>
        </w:tc>
        <w:tc>
          <w:tcPr>
            <w:tcW w:w="850" w:type="dxa"/>
            <w:vMerge/>
          </w:tcPr>
          <w:p w:rsidR="00310287" w:rsidRDefault="00310287" w:rsidP="00401DA9">
            <w:pPr>
              <w:pStyle w:val="Default"/>
              <w:jc w:val="center"/>
              <w:rPr>
                <w:sz w:val="16"/>
                <w:szCs w:val="16"/>
                <w:vertAlign w:val="superscript"/>
              </w:rPr>
            </w:pPr>
          </w:p>
        </w:tc>
        <w:tc>
          <w:tcPr>
            <w:tcW w:w="851" w:type="dxa"/>
          </w:tcPr>
          <w:p w:rsidR="00310287" w:rsidRPr="0096495B" w:rsidRDefault="00310287" w:rsidP="00401DA9">
            <w:pPr>
              <w:pStyle w:val="Default"/>
              <w:jc w:val="center"/>
              <w:rPr>
                <w:sz w:val="16"/>
                <w:szCs w:val="16"/>
                <w:vertAlign w:val="superscript"/>
              </w:rPr>
            </w:pPr>
            <w:r>
              <w:rPr>
                <w:sz w:val="16"/>
                <w:szCs w:val="16"/>
                <w:vertAlign w:val="superscript"/>
              </w:rPr>
              <w:t>рублей</w:t>
            </w:r>
          </w:p>
        </w:tc>
        <w:tc>
          <w:tcPr>
            <w:tcW w:w="567" w:type="dxa"/>
          </w:tcPr>
          <w:p w:rsidR="00310287" w:rsidRPr="0096495B" w:rsidRDefault="00310287" w:rsidP="00401DA9">
            <w:pPr>
              <w:pStyle w:val="Default"/>
              <w:jc w:val="center"/>
              <w:rPr>
                <w:sz w:val="16"/>
                <w:szCs w:val="16"/>
                <w:vertAlign w:val="superscript"/>
              </w:rPr>
            </w:pPr>
            <w:r>
              <w:rPr>
                <w:sz w:val="16"/>
                <w:szCs w:val="16"/>
                <w:vertAlign w:val="superscript"/>
              </w:rPr>
              <w:t>отношение к 2023 году, % к первоначальной редакции</w:t>
            </w:r>
          </w:p>
        </w:tc>
        <w:tc>
          <w:tcPr>
            <w:tcW w:w="567" w:type="dxa"/>
          </w:tcPr>
          <w:p w:rsidR="00310287" w:rsidRPr="0096495B" w:rsidRDefault="00310287" w:rsidP="00401DA9">
            <w:pPr>
              <w:pStyle w:val="Default"/>
              <w:jc w:val="center"/>
              <w:rPr>
                <w:sz w:val="16"/>
                <w:szCs w:val="16"/>
                <w:vertAlign w:val="superscript"/>
              </w:rPr>
            </w:pPr>
            <w:r>
              <w:rPr>
                <w:sz w:val="16"/>
                <w:szCs w:val="16"/>
                <w:vertAlign w:val="superscript"/>
              </w:rPr>
              <w:t>отношение к 2023 году, %с учетом изменений</w:t>
            </w:r>
          </w:p>
        </w:tc>
        <w:tc>
          <w:tcPr>
            <w:tcW w:w="567" w:type="dxa"/>
          </w:tcPr>
          <w:p w:rsidR="00310287" w:rsidRPr="0096495B" w:rsidRDefault="00310287" w:rsidP="00401DA9">
            <w:pPr>
              <w:pStyle w:val="Default"/>
              <w:jc w:val="center"/>
              <w:rPr>
                <w:sz w:val="16"/>
                <w:szCs w:val="16"/>
                <w:vertAlign w:val="superscript"/>
              </w:rPr>
            </w:pPr>
            <w:r>
              <w:rPr>
                <w:sz w:val="16"/>
                <w:szCs w:val="16"/>
                <w:vertAlign w:val="superscript"/>
              </w:rPr>
              <w:t>удельный вес, %</w:t>
            </w:r>
          </w:p>
        </w:tc>
        <w:tc>
          <w:tcPr>
            <w:tcW w:w="992" w:type="dxa"/>
          </w:tcPr>
          <w:p w:rsidR="00310287" w:rsidRPr="0096495B" w:rsidRDefault="00310287" w:rsidP="00401DA9">
            <w:pPr>
              <w:pStyle w:val="Default"/>
              <w:jc w:val="center"/>
              <w:rPr>
                <w:sz w:val="16"/>
                <w:szCs w:val="16"/>
                <w:vertAlign w:val="superscript"/>
              </w:rPr>
            </w:pPr>
            <w:r>
              <w:rPr>
                <w:sz w:val="16"/>
                <w:szCs w:val="16"/>
                <w:vertAlign w:val="superscript"/>
              </w:rPr>
              <w:t>рублей</w:t>
            </w:r>
          </w:p>
        </w:tc>
        <w:tc>
          <w:tcPr>
            <w:tcW w:w="567" w:type="dxa"/>
          </w:tcPr>
          <w:p w:rsidR="00310287" w:rsidRPr="0096495B" w:rsidRDefault="00310287" w:rsidP="00401DA9">
            <w:pPr>
              <w:pStyle w:val="Default"/>
              <w:jc w:val="center"/>
              <w:rPr>
                <w:sz w:val="16"/>
                <w:szCs w:val="16"/>
                <w:vertAlign w:val="superscript"/>
              </w:rPr>
            </w:pPr>
            <w:r>
              <w:rPr>
                <w:sz w:val="16"/>
                <w:szCs w:val="16"/>
                <w:vertAlign w:val="superscript"/>
              </w:rPr>
              <w:t>отношение к 2024 году, %</w:t>
            </w:r>
          </w:p>
        </w:tc>
        <w:tc>
          <w:tcPr>
            <w:tcW w:w="567" w:type="dxa"/>
          </w:tcPr>
          <w:p w:rsidR="00310287" w:rsidRPr="0096495B" w:rsidRDefault="00310287" w:rsidP="00401DA9">
            <w:pPr>
              <w:pStyle w:val="Default"/>
              <w:jc w:val="center"/>
              <w:rPr>
                <w:sz w:val="16"/>
                <w:szCs w:val="16"/>
                <w:vertAlign w:val="superscript"/>
              </w:rPr>
            </w:pPr>
            <w:r>
              <w:rPr>
                <w:sz w:val="16"/>
                <w:szCs w:val="16"/>
                <w:vertAlign w:val="superscript"/>
              </w:rPr>
              <w:t>удельный вес, %</w:t>
            </w:r>
          </w:p>
        </w:tc>
        <w:tc>
          <w:tcPr>
            <w:tcW w:w="851" w:type="dxa"/>
          </w:tcPr>
          <w:p w:rsidR="00310287" w:rsidRPr="0096495B" w:rsidRDefault="00310287" w:rsidP="00401DA9">
            <w:pPr>
              <w:pStyle w:val="Default"/>
              <w:jc w:val="center"/>
              <w:rPr>
                <w:sz w:val="16"/>
                <w:szCs w:val="16"/>
                <w:vertAlign w:val="superscript"/>
              </w:rPr>
            </w:pPr>
            <w:r>
              <w:rPr>
                <w:sz w:val="16"/>
                <w:szCs w:val="16"/>
                <w:vertAlign w:val="superscript"/>
              </w:rPr>
              <w:t>рублей</w:t>
            </w:r>
          </w:p>
        </w:tc>
        <w:tc>
          <w:tcPr>
            <w:tcW w:w="567" w:type="dxa"/>
          </w:tcPr>
          <w:p w:rsidR="00310287" w:rsidRPr="0096495B" w:rsidRDefault="00310287" w:rsidP="00401DA9">
            <w:pPr>
              <w:pStyle w:val="Default"/>
              <w:jc w:val="center"/>
              <w:rPr>
                <w:sz w:val="16"/>
                <w:szCs w:val="16"/>
                <w:vertAlign w:val="superscript"/>
              </w:rPr>
            </w:pPr>
            <w:r>
              <w:rPr>
                <w:sz w:val="16"/>
                <w:szCs w:val="16"/>
                <w:vertAlign w:val="superscript"/>
              </w:rPr>
              <w:t>отношение к 2025 году, %</w:t>
            </w:r>
          </w:p>
        </w:tc>
        <w:tc>
          <w:tcPr>
            <w:tcW w:w="532" w:type="dxa"/>
          </w:tcPr>
          <w:p w:rsidR="00310287" w:rsidRPr="0096495B" w:rsidRDefault="00310287" w:rsidP="00401DA9">
            <w:pPr>
              <w:pStyle w:val="Default"/>
              <w:jc w:val="center"/>
              <w:rPr>
                <w:sz w:val="16"/>
                <w:szCs w:val="16"/>
                <w:vertAlign w:val="superscript"/>
              </w:rPr>
            </w:pPr>
            <w:r>
              <w:rPr>
                <w:sz w:val="16"/>
                <w:szCs w:val="16"/>
                <w:vertAlign w:val="superscript"/>
              </w:rPr>
              <w:t>удельный вес, %</w:t>
            </w:r>
          </w:p>
        </w:tc>
      </w:tr>
      <w:tr w:rsidR="006E6617" w:rsidRPr="005358BE" w:rsidTr="00401DA9">
        <w:tc>
          <w:tcPr>
            <w:tcW w:w="1101" w:type="dxa"/>
          </w:tcPr>
          <w:p w:rsidR="006E6617" w:rsidRDefault="006E6617" w:rsidP="00401DA9">
            <w:pPr>
              <w:widowControl w:val="0"/>
              <w:spacing w:after="0" w:line="240" w:lineRule="auto"/>
              <w:jc w:val="center"/>
              <w:rPr>
                <w:rFonts w:ascii="Times New Roman" w:hAnsi="Times New Roman" w:cs="Times New Roman"/>
                <w:b/>
                <w:vertAlign w:val="subscript"/>
              </w:rPr>
            </w:pPr>
            <w:r>
              <w:rPr>
                <w:rFonts w:ascii="Times New Roman" w:eastAsia="Times New Roman" w:hAnsi="Times New Roman" w:cs="Times New Roman"/>
                <w:b/>
                <w:sz w:val="20"/>
                <w:vertAlign w:val="subscript"/>
              </w:rPr>
              <w:t>Налоговые и неналоговые доходы, в т.ч.</w:t>
            </w:r>
          </w:p>
        </w:tc>
        <w:tc>
          <w:tcPr>
            <w:tcW w:w="992" w:type="dxa"/>
          </w:tcPr>
          <w:p w:rsidR="006E6617" w:rsidRPr="006E6617" w:rsidRDefault="006E6617" w:rsidP="00401DA9">
            <w:pPr>
              <w:widowControl w:val="0"/>
              <w:spacing w:after="0" w:line="240" w:lineRule="auto"/>
              <w:jc w:val="center"/>
              <w:rPr>
                <w:rFonts w:ascii="Times New Roman" w:hAnsi="Times New Roman" w:cs="Times New Roman"/>
                <w:b/>
                <w:sz w:val="16"/>
                <w:szCs w:val="16"/>
                <w:vertAlign w:val="superscript"/>
              </w:rPr>
            </w:pPr>
            <w:r w:rsidRPr="006E6617">
              <w:rPr>
                <w:rFonts w:ascii="Times New Roman" w:hAnsi="Times New Roman" w:cs="Times New Roman"/>
                <w:b/>
                <w:sz w:val="16"/>
                <w:szCs w:val="16"/>
                <w:vertAlign w:val="superscript"/>
              </w:rPr>
              <w:t>25 010 060,00</w:t>
            </w:r>
          </w:p>
        </w:tc>
        <w:tc>
          <w:tcPr>
            <w:tcW w:w="850" w:type="dxa"/>
          </w:tcPr>
          <w:p w:rsidR="006E6617" w:rsidRPr="005358BE" w:rsidRDefault="00291797" w:rsidP="00401DA9">
            <w:pPr>
              <w:pStyle w:val="Default"/>
              <w:jc w:val="center"/>
              <w:rPr>
                <w:b/>
                <w:sz w:val="16"/>
                <w:szCs w:val="16"/>
                <w:vertAlign w:val="superscript"/>
              </w:rPr>
            </w:pPr>
            <w:r>
              <w:rPr>
                <w:b/>
                <w:sz w:val="16"/>
                <w:szCs w:val="16"/>
                <w:vertAlign w:val="superscript"/>
              </w:rPr>
              <w:t>25 010</w:t>
            </w:r>
            <w:r w:rsidR="000D4930">
              <w:rPr>
                <w:b/>
                <w:sz w:val="16"/>
                <w:szCs w:val="16"/>
                <w:vertAlign w:val="superscript"/>
              </w:rPr>
              <w:t> </w:t>
            </w:r>
            <w:r>
              <w:rPr>
                <w:b/>
                <w:sz w:val="16"/>
                <w:szCs w:val="16"/>
                <w:vertAlign w:val="superscript"/>
              </w:rPr>
              <w:t>060</w:t>
            </w:r>
            <w:r w:rsidR="000D4930">
              <w:rPr>
                <w:b/>
                <w:sz w:val="16"/>
                <w:szCs w:val="16"/>
                <w:vertAlign w:val="superscript"/>
              </w:rPr>
              <w:t>,00</w:t>
            </w:r>
          </w:p>
        </w:tc>
        <w:tc>
          <w:tcPr>
            <w:tcW w:w="851" w:type="dxa"/>
          </w:tcPr>
          <w:p w:rsidR="006E6617" w:rsidRPr="005358BE" w:rsidRDefault="00DE3D45" w:rsidP="00401DA9">
            <w:pPr>
              <w:pStyle w:val="Default"/>
              <w:jc w:val="center"/>
              <w:rPr>
                <w:b/>
                <w:sz w:val="16"/>
                <w:szCs w:val="16"/>
                <w:vertAlign w:val="superscript"/>
              </w:rPr>
            </w:pPr>
            <w:r>
              <w:rPr>
                <w:b/>
                <w:sz w:val="16"/>
                <w:szCs w:val="16"/>
                <w:vertAlign w:val="superscript"/>
              </w:rPr>
              <w:t>31 762 140,70</w:t>
            </w:r>
          </w:p>
        </w:tc>
        <w:tc>
          <w:tcPr>
            <w:tcW w:w="567" w:type="dxa"/>
          </w:tcPr>
          <w:p w:rsidR="006E6617" w:rsidRPr="005358BE" w:rsidRDefault="00CC2C3B" w:rsidP="00401DA9">
            <w:pPr>
              <w:pStyle w:val="Default"/>
              <w:jc w:val="center"/>
              <w:rPr>
                <w:b/>
                <w:sz w:val="16"/>
                <w:szCs w:val="16"/>
                <w:vertAlign w:val="superscript"/>
              </w:rPr>
            </w:pPr>
            <w:r>
              <w:rPr>
                <w:b/>
                <w:sz w:val="16"/>
                <w:szCs w:val="16"/>
                <w:vertAlign w:val="superscript"/>
              </w:rPr>
              <w:t>127,00</w:t>
            </w:r>
          </w:p>
        </w:tc>
        <w:tc>
          <w:tcPr>
            <w:tcW w:w="567" w:type="dxa"/>
          </w:tcPr>
          <w:p w:rsidR="006E6617" w:rsidRPr="005358BE" w:rsidRDefault="00CC2C3B" w:rsidP="00401DA9">
            <w:pPr>
              <w:pStyle w:val="Default"/>
              <w:jc w:val="center"/>
              <w:rPr>
                <w:b/>
                <w:sz w:val="16"/>
                <w:szCs w:val="16"/>
                <w:vertAlign w:val="superscript"/>
              </w:rPr>
            </w:pPr>
            <w:r>
              <w:rPr>
                <w:b/>
                <w:sz w:val="16"/>
                <w:szCs w:val="16"/>
                <w:vertAlign w:val="superscript"/>
              </w:rPr>
              <w:t>127,00</w:t>
            </w:r>
          </w:p>
        </w:tc>
        <w:tc>
          <w:tcPr>
            <w:tcW w:w="567" w:type="dxa"/>
          </w:tcPr>
          <w:p w:rsidR="006E6617" w:rsidRPr="005358BE" w:rsidRDefault="00401DA9" w:rsidP="00401DA9">
            <w:pPr>
              <w:pStyle w:val="Default"/>
              <w:jc w:val="center"/>
              <w:rPr>
                <w:b/>
                <w:sz w:val="16"/>
                <w:szCs w:val="16"/>
                <w:vertAlign w:val="superscript"/>
              </w:rPr>
            </w:pPr>
            <w:r>
              <w:rPr>
                <w:b/>
                <w:sz w:val="16"/>
                <w:szCs w:val="16"/>
                <w:vertAlign w:val="superscript"/>
              </w:rPr>
              <w:t>84,68</w:t>
            </w:r>
          </w:p>
        </w:tc>
        <w:tc>
          <w:tcPr>
            <w:tcW w:w="992" w:type="dxa"/>
          </w:tcPr>
          <w:p w:rsidR="006E6617" w:rsidRPr="005358BE" w:rsidRDefault="00DE3D45" w:rsidP="00401DA9">
            <w:pPr>
              <w:pStyle w:val="Default"/>
              <w:jc w:val="center"/>
              <w:rPr>
                <w:b/>
                <w:sz w:val="16"/>
                <w:szCs w:val="16"/>
                <w:vertAlign w:val="superscript"/>
              </w:rPr>
            </w:pPr>
            <w:r>
              <w:rPr>
                <w:b/>
                <w:sz w:val="16"/>
                <w:szCs w:val="16"/>
                <w:vertAlign w:val="superscript"/>
              </w:rPr>
              <w:t>28 250 632,00</w:t>
            </w:r>
          </w:p>
        </w:tc>
        <w:tc>
          <w:tcPr>
            <w:tcW w:w="567" w:type="dxa"/>
          </w:tcPr>
          <w:p w:rsidR="006E6617" w:rsidRPr="005358BE" w:rsidRDefault="00AA1C64" w:rsidP="00401DA9">
            <w:pPr>
              <w:pStyle w:val="Default"/>
              <w:jc w:val="center"/>
              <w:rPr>
                <w:b/>
                <w:sz w:val="16"/>
                <w:szCs w:val="16"/>
                <w:vertAlign w:val="superscript"/>
              </w:rPr>
            </w:pPr>
            <w:r>
              <w:rPr>
                <w:b/>
                <w:sz w:val="16"/>
                <w:szCs w:val="16"/>
                <w:vertAlign w:val="superscript"/>
              </w:rPr>
              <w:t>88,94</w:t>
            </w:r>
          </w:p>
        </w:tc>
        <w:tc>
          <w:tcPr>
            <w:tcW w:w="567" w:type="dxa"/>
          </w:tcPr>
          <w:p w:rsidR="006E6617" w:rsidRPr="005358BE" w:rsidRDefault="00AA1C64" w:rsidP="00401DA9">
            <w:pPr>
              <w:pStyle w:val="Default"/>
              <w:jc w:val="center"/>
              <w:rPr>
                <w:b/>
                <w:sz w:val="16"/>
                <w:szCs w:val="16"/>
                <w:vertAlign w:val="superscript"/>
              </w:rPr>
            </w:pPr>
            <w:r>
              <w:rPr>
                <w:b/>
                <w:sz w:val="16"/>
                <w:szCs w:val="16"/>
                <w:vertAlign w:val="superscript"/>
              </w:rPr>
              <w:t>86,00</w:t>
            </w:r>
          </w:p>
        </w:tc>
        <w:tc>
          <w:tcPr>
            <w:tcW w:w="851" w:type="dxa"/>
          </w:tcPr>
          <w:p w:rsidR="006E6617" w:rsidRPr="005358BE" w:rsidRDefault="00DE3D45" w:rsidP="00401DA9">
            <w:pPr>
              <w:pStyle w:val="Default"/>
              <w:jc w:val="center"/>
              <w:rPr>
                <w:b/>
                <w:sz w:val="16"/>
                <w:szCs w:val="16"/>
                <w:vertAlign w:val="superscript"/>
              </w:rPr>
            </w:pPr>
            <w:r>
              <w:rPr>
                <w:b/>
                <w:sz w:val="16"/>
                <w:szCs w:val="16"/>
                <w:vertAlign w:val="superscript"/>
              </w:rPr>
              <w:t>30 513 725,00</w:t>
            </w:r>
          </w:p>
        </w:tc>
        <w:tc>
          <w:tcPr>
            <w:tcW w:w="567" w:type="dxa"/>
          </w:tcPr>
          <w:p w:rsidR="006E6617" w:rsidRPr="005358BE" w:rsidRDefault="00F23185" w:rsidP="00401DA9">
            <w:pPr>
              <w:pStyle w:val="Default"/>
              <w:jc w:val="center"/>
              <w:rPr>
                <w:b/>
                <w:sz w:val="16"/>
                <w:szCs w:val="16"/>
                <w:vertAlign w:val="superscript"/>
              </w:rPr>
            </w:pPr>
            <w:r>
              <w:rPr>
                <w:b/>
                <w:sz w:val="16"/>
                <w:szCs w:val="16"/>
                <w:vertAlign w:val="superscript"/>
              </w:rPr>
              <w:t>108,01</w:t>
            </w:r>
          </w:p>
        </w:tc>
        <w:tc>
          <w:tcPr>
            <w:tcW w:w="532" w:type="dxa"/>
          </w:tcPr>
          <w:p w:rsidR="006E6617" w:rsidRPr="005358BE" w:rsidRDefault="00F23185" w:rsidP="00401DA9">
            <w:pPr>
              <w:pStyle w:val="Default"/>
              <w:jc w:val="center"/>
              <w:rPr>
                <w:b/>
                <w:sz w:val="16"/>
                <w:szCs w:val="16"/>
                <w:vertAlign w:val="superscript"/>
              </w:rPr>
            </w:pPr>
            <w:r>
              <w:rPr>
                <w:b/>
                <w:sz w:val="16"/>
                <w:szCs w:val="16"/>
                <w:vertAlign w:val="superscript"/>
              </w:rPr>
              <w:t>86,90</w:t>
            </w:r>
          </w:p>
        </w:tc>
      </w:tr>
      <w:tr w:rsidR="006E6617" w:rsidRPr="005358BE" w:rsidTr="00401DA9">
        <w:tc>
          <w:tcPr>
            <w:tcW w:w="1101" w:type="dxa"/>
          </w:tcPr>
          <w:p w:rsidR="006E6617" w:rsidRDefault="006E6617" w:rsidP="00401DA9">
            <w:pPr>
              <w:widowControl w:val="0"/>
              <w:spacing w:after="0" w:line="240" w:lineRule="auto"/>
              <w:jc w:val="center"/>
              <w:rPr>
                <w:rFonts w:ascii="Times New Roman" w:hAnsi="Times New Roman" w:cs="Times New Roman"/>
                <w:b/>
                <w:i/>
                <w:vertAlign w:val="subscript"/>
              </w:rPr>
            </w:pPr>
            <w:r>
              <w:rPr>
                <w:rFonts w:ascii="Times New Roman" w:eastAsia="Times New Roman" w:hAnsi="Times New Roman" w:cs="Times New Roman"/>
                <w:b/>
                <w:i/>
                <w:sz w:val="20"/>
                <w:vertAlign w:val="subscript"/>
              </w:rPr>
              <w:t>налоговые</w:t>
            </w:r>
          </w:p>
        </w:tc>
        <w:tc>
          <w:tcPr>
            <w:tcW w:w="992" w:type="dxa"/>
          </w:tcPr>
          <w:p w:rsidR="006E6617" w:rsidRPr="006E6617" w:rsidRDefault="006E6617" w:rsidP="00401DA9">
            <w:pPr>
              <w:widowControl w:val="0"/>
              <w:spacing w:after="0" w:line="240" w:lineRule="auto"/>
              <w:jc w:val="center"/>
              <w:rPr>
                <w:rFonts w:ascii="Times New Roman" w:hAnsi="Times New Roman" w:cs="Times New Roman"/>
                <w:b/>
                <w:sz w:val="16"/>
                <w:szCs w:val="16"/>
                <w:vertAlign w:val="superscript"/>
              </w:rPr>
            </w:pPr>
            <w:r w:rsidRPr="006E6617">
              <w:rPr>
                <w:rFonts w:ascii="Times New Roman" w:hAnsi="Times New Roman" w:cs="Times New Roman"/>
                <w:b/>
                <w:sz w:val="16"/>
                <w:szCs w:val="16"/>
                <w:vertAlign w:val="superscript"/>
              </w:rPr>
              <w:t>19 332 560,00</w:t>
            </w:r>
          </w:p>
        </w:tc>
        <w:tc>
          <w:tcPr>
            <w:tcW w:w="850" w:type="dxa"/>
          </w:tcPr>
          <w:p w:rsidR="006E6617" w:rsidRDefault="000D4930" w:rsidP="00401DA9">
            <w:pPr>
              <w:pStyle w:val="Default"/>
              <w:jc w:val="center"/>
              <w:rPr>
                <w:b/>
                <w:sz w:val="16"/>
                <w:szCs w:val="16"/>
                <w:vertAlign w:val="superscript"/>
              </w:rPr>
            </w:pPr>
            <w:r>
              <w:rPr>
                <w:b/>
                <w:sz w:val="16"/>
                <w:szCs w:val="16"/>
                <w:vertAlign w:val="superscript"/>
              </w:rPr>
              <w:t>20 203 122,71</w:t>
            </w:r>
          </w:p>
        </w:tc>
        <w:tc>
          <w:tcPr>
            <w:tcW w:w="851" w:type="dxa"/>
          </w:tcPr>
          <w:p w:rsidR="006E6617" w:rsidRDefault="008D1B54" w:rsidP="00401DA9">
            <w:pPr>
              <w:pStyle w:val="Default"/>
              <w:jc w:val="center"/>
              <w:rPr>
                <w:b/>
                <w:sz w:val="16"/>
                <w:szCs w:val="16"/>
                <w:vertAlign w:val="superscript"/>
              </w:rPr>
            </w:pPr>
            <w:r>
              <w:rPr>
                <w:b/>
                <w:sz w:val="16"/>
                <w:szCs w:val="16"/>
                <w:vertAlign w:val="superscript"/>
              </w:rPr>
              <w:t>23 483 485,00</w:t>
            </w:r>
          </w:p>
        </w:tc>
        <w:tc>
          <w:tcPr>
            <w:tcW w:w="567" w:type="dxa"/>
          </w:tcPr>
          <w:p w:rsidR="006E6617" w:rsidRDefault="00CC2C3B" w:rsidP="00401DA9">
            <w:pPr>
              <w:pStyle w:val="Default"/>
              <w:jc w:val="center"/>
              <w:rPr>
                <w:b/>
                <w:sz w:val="16"/>
                <w:szCs w:val="16"/>
                <w:vertAlign w:val="superscript"/>
              </w:rPr>
            </w:pPr>
            <w:r>
              <w:rPr>
                <w:b/>
                <w:sz w:val="16"/>
                <w:szCs w:val="16"/>
                <w:vertAlign w:val="superscript"/>
              </w:rPr>
              <w:t>121,47</w:t>
            </w:r>
          </w:p>
        </w:tc>
        <w:tc>
          <w:tcPr>
            <w:tcW w:w="567" w:type="dxa"/>
          </w:tcPr>
          <w:p w:rsidR="006E6617" w:rsidRDefault="00CC2C3B" w:rsidP="00401DA9">
            <w:pPr>
              <w:pStyle w:val="Default"/>
              <w:jc w:val="center"/>
              <w:rPr>
                <w:b/>
                <w:sz w:val="16"/>
                <w:szCs w:val="16"/>
                <w:vertAlign w:val="superscript"/>
              </w:rPr>
            </w:pPr>
            <w:r>
              <w:rPr>
                <w:b/>
                <w:sz w:val="16"/>
                <w:szCs w:val="16"/>
                <w:vertAlign w:val="superscript"/>
              </w:rPr>
              <w:t>116,24</w:t>
            </w:r>
          </w:p>
        </w:tc>
        <w:tc>
          <w:tcPr>
            <w:tcW w:w="567" w:type="dxa"/>
          </w:tcPr>
          <w:p w:rsidR="006E6617" w:rsidRDefault="00401DA9" w:rsidP="00401DA9">
            <w:pPr>
              <w:pStyle w:val="Default"/>
              <w:jc w:val="center"/>
              <w:rPr>
                <w:b/>
                <w:sz w:val="16"/>
                <w:szCs w:val="16"/>
                <w:vertAlign w:val="superscript"/>
              </w:rPr>
            </w:pPr>
            <w:r>
              <w:rPr>
                <w:b/>
                <w:sz w:val="16"/>
                <w:szCs w:val="16"/>
                <w:vertAlign w:val="superscript"/>
              </w:rPr>
              <w:t>62,61</w:t>
            </w:r>
          </w:p>
        </w:tc>
        <w:tc>
          <w:tcPr>
            <w:tcW w:w="992" w:type="dxa"/>
          </w:tcPr>
          <w:p w:rsidR="006E6617" w:rsidRDefault="008F349F" w:rsidP="00401DA9">
            <w:pPr>
              <w:pStyle w:val="Default"/>
              <w:jc w:val="center"/>
              <w:rPr>
                <w:b/>
                <w:sz w:val="16"/>
                <w:szCs w:val="16"/>
                <w:vertAlign w:val="superscript"/>
              </w:rPr>
            </w:pPr>
            <w:r>
              <w:rPr>
                <w:b/>
                <w:sz w:val="16"/>
                <w:szCs w:val="16"/>
                <w:vertAlign w:val="superscript"/>
              </w:rPr>
              <w:t>24 509 227,00</w:t>
            </w:r>
          </w:p>
        </w:tc>
        <w:tc>
          <w:tcPr>
            <w:tcW w:w="567" w:type="dxa"/>
          </w:tcPr>
          <w:p w:rsidR="006E6617" w:rsidRDefault="00AA1C64" w:rsidP="00401DA9">
            <w:pPr>
              <w:pStyle w:val="Default"/>
              <w:jc w:val="center"/>
              <w:rPr>
                <w:b/>
                <w:sz w:val="16"/>
                <w:szCs w:val="16"/>
                <w:vertAlign w:val="superscript"/>
              </w:rPr>
            </w:pPr>
            <w:r>
              <w:rPr>
                <w:b/>
                <w:sz w:val="16"/>
                <w:szCs w:val="16"/>
                <w:vertAlign w:val="superscript"/>
              </w:rPr>
              <w:t>104,37</w:t>
            </w:r>
          </w:p>
        </w:tc>
        <w:tc>
          <w:tcPr>
            <w:tcW w:w="567" w:type="dxa"/>
          </w:tcPr>
          <w:p w:rsidR="006E6617" w:rsidRDefault="00AA1C64" w:rsidP="00401DA9">
            <w:pPr>
              <w:pStyle w:val="Default"/>
              <w:jc w:val="center"/>
              <w:rPr>
                <w:b/>
                <w:sz w:val="16"/>
                <w:szCs w:val="16"/>
                <w:vertAlign w:val="superscript"/>
              </w:rPr>
            </w:pPr>
            <w:r>
              <w:rPr>
                <w:b/>
                <w:sz w:val="16"/>
                <w:szCs w:val="16"/>
                <w:vertAlign w:val="superscript"/>
              </w:rPr>
              <w:t>74,61</w:t>
            </w:r>
          </w:p>
        </w:tc>
        <w:tc>
          <w:tcPr>
            <w:tcW w:w="851" w:type="dxa"/>
          </w:tcPr>
          <w:p w:rsidR="006E6617" w:rsidRDefault="006C2247" w:rsidP="00401DA9">
            <w:pPr>
              <w:pStyle w:val="Default"/>
              <w:jc w:val="center"/>
              <w:rPr>
                <w:b/>
                <w:sz w:val="16"/>
                <w:szCs w:val="16"/>
                <w:vertAlign w:val="superscript"/>
              </w:rPr>
            </w:pPr>
            <w:r>
              <w:rPr>
                <w:b/>
                <w:sz w:val="16"/>
                <w:szCs w:val="16"/>
                <w:vertAlign w:val="superscript"/>
              </w:rPr>
              <w:t>26 742 320,00</w:t>
            </w:r>
          </w:p>
        </w:tc>
        <w:tc>
          <w:tcPr>
            <w:tcW w:w="567" w:type="dxa"/>
          </w:tcPr>
          <w:p w:rsidR="006E6617" w:rsidRDefault="00F23185" w:rsidP="00401DA9">
            <w:pPr>
              <w:pStyle w:val="Default"/>
              <w:jc w:val="center"/>
              <w:rPr>
                <w:b/>
                <w:sz w:val="16"/>
                <w:szCs w:val="16"/>
                <w:vertAlign w:val="superscript"/>
              </w:rPr>
            </w:pPr>
            <w:r>
              <w:rPr>
                <w:b/>
                <w:sz w:val="16"/>
                <w:szCs w:val="16"/>
                <w:vertAlign w:val="superscript"/>
              </w:rPr>
              <w:t>109,11</w:t>
            </w:r>
          </w:p>
        </w:tc>
        <w:tc>
          <w:tcPr>
            <w:tcW w:w="532" w:type="dxa"/>
          </w:tcPr>
          <w:p w:rsidR="006E6617" w:rsidRDefault="00F23185" w:rsidP="00401DA9">
            <w:pPr>
              <w:pStyle w:val="Default"/>
              <w:jc w:val="center"/>
              <w:rPr>
                <w:b/>
                <w:sz w:val="16"/>
                <w:szCs w:val="16"/>
                <w:vertAlign w:val="superscript"/>
              </w:rPr>
            </w:pPr>
            <w:r>
              <w:rPr>
                <w:b/>
                <w:sz w:val="16"/>
                <w:szCs w:val="16"/>
                <w:vertAlign w:val="superscript"/>
              </w:rPr>
              <w:t>76,16</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sz w:val="20"/>
                <w:vertAlign w:val="subscript"/>
              </w:rPr>
              <w:t>налог на доход физических лиц</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13 088 800,00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13 088 800,00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15 298 148,00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116,88</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116,88</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40,78</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16 181 787,00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105,78</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49,26</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17 070 117,00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105,49</w:t>
            </w:r>
          </w:p>
        </w:tc>
        <w:tc>
          <w:tcPr>
            <w:tcW w:w="532" w:type="dxa"/>
          </w:tcPr>
          <w:p w:rsidR="00F23185" w:rsidRDefault="00F23185" w:rsidP="008A320D">
            <w:pPr>
              <w:pStyle w:val="Default"/>
              <w:jc w:val="center"/>
              <w:rPr>
                <w:b/>
                <w:sz w:val="16"/>
                <w:szCs w:val="16"/>
                <w:vertAlign w:val="superscript"/>
              </w:rPr>
            </w:pPr>
            <w:r>
              <w:rPr>
                <w:b/>
                <w:sz w:val="16"/>
                <w:szCs w:val="16"/>
                <w:vertAlign w:val="superscript"/>
              </w:rPr>
              <w:t>48,62</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sz w:val="20"/>
                <w:vertAlign w:val="subscript"/>
              </w:rPr>
              <w:t>налоги на товары реализуемые на территории РФ(АКЦИЗЫ)</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3 215 760,00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3 215 760,00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3 571 209,00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111,05</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111,05</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9,7</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3 653 534,00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102,31</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11,12</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4 927 221,00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134,86</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14,03</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налоги на совокупный доход</w:t>
            </w:r>
          </w:p>
          <w:p w:rsidR="00F23185" w:rsidRDefault="00F23185" w:rsidP="00401DA9">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sz w:val="20"/>
                <w:vertAlign w:val="subscript"/>
              </w:rPr>
              <w:t>(Единый сельскохозяйственный налог)</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1 448 000,00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2 318 562,71</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2 391 128,00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165,13</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103,13</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6,38</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2 450 906,00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102,50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7,46</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2 521 982,00</w:t>
            </w:r>
          </w:p>
        </w:tc>
        <w:tc>
          <w:tcPr>
            <w:tcW w:w="567" w:type="dxa"/>
          </w:tcPr>
          <w:p w:rsidR="00F23185" w:rsidRDefault="00461FB9" w:rsidP="00401DA9">
            <w:pPr>
              <w:pStyle w:val="Default"/>
              <w:jc w:val="center"/>
              <w:rPr>
                <w:b/>
                <w:sz w:val="16"/>
                <w:szCs w:val="16"/>
                <w:vertAlign w:val="superscript"/>
              </w:rPr>
            </w:pPr>
            <w:r>
              <w:rPr>
                <w:b/>
                <w:sz w:val="16"/>
                <w:szCs w:val="16"/>
                <w:vertAlign w:val="superscript"/>
              </w:rPr>
              <w:t>102,90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7,18</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налог на имущество</w:t>
            </w:r>
          </w:p>
          <w:p w:rsidR="00F23185" w:rsidRDefault="00F23185" w:rsidP="00401DA9">
            <w:pPr>
              <w:widowControl w:val="0"/>
              <w:spacing w:after="0" w:line="240" w:lineRule="auto"/>
              <w:jc w:val="center"/>
              <w:rPr>
                <w:rFonts w:ascii="Times New Roman" w:hAnsi="Times New Roman" w:cs="Times New Roman"/>
                <w:vertAlign w:val="subscript"/>
              </w:rPr>
            </w:pP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1 580 000,00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1 580 000,00</w:t>
            </w:r>
          </w:p>
          <w:p w:rsidR="00F23185" w:rsidRDefault="00F23185" w:rsidP="00401DA9">
            <w:pPr>
              <w:pStyle w:val="Default"/>
              <w:jc w:val="center"/>
              <w:rPr>
                <w:b/>
                <w:sz w:val="16"/>
                <w:szCs w:val="16"/>
                <w:vertAlign w:val="superscript"/>
              </w:rPr>
            </w:pPr>
          </w:p>
          <w:p w:rsidR="00F23185" w:rsidRDefault="00F23185" w:rsidP="00401DA9">
            <w:pPr>
              <w:pStyle w:val="Default"/>
              <w:jc w:val="center"/>
              <w:rPr>
                <w:b/>
                <w:sz w:val="16"/>
                <w:szCs w:val="16"/>
                <w:vertAlign w:val="superscript"/>
              </w:rPr>
            </w:pPr>
          </w:p>
        </w:tc>
        <w:tc>
          <w:tcPr>
            <w:tcW w:w="851" w:type="dxa"/>
          </w:tcPr>
          <w:p w:rsidR="00F23185" w:rsidRDefault="00F23185" w:rsidP="00401DA9">
            <w:pPr>
              <w:pStyle w:val="Default"/>
              <w:jc w:val="center"/>
              <w:rPr>
                <w:b/>
                <w:sz w:val="16"/>
                <w:szCs w:val="16"/>
                <w:vertAlign w:val="superscript"/>
              </w:rPr>
            </w:pPr>
            <w:r>
              <w:rPr>
                <w:b/>
                <w:sz w:val="16"/>
                <w:szCs w:val="16"/>
                <w:vertAlign w:val="superscript"/>
              </w:rPr>
              <w:t>2 223 000,00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140,70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140,70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5,93</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2 223 000,00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6,77</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2 223 000,00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6,33</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b/>
                <w:i/>
                <w:vertAlign w:val="subscript"/>
              </w:rPr>
            </w:pPr>
            <w:r>
              <w:rPr>
                <w:rFonts w:ascii="Times New Roman" w:eastAsia="Times New Roman" w:hAnsi="Times New Roman" w:cs="Times New Roman"/>
                <w:b/>
                <w:i/>
                <w:sz w:val="20"/>
                <w:vertAlign w:val="subscript"/>
              </w:rPr>
              <w:t>неналоговые</w:t>
            </w:r>
          </w:p>
        </w:tc>
        <w:tc>
          <w:tcPr>
            <w:tcW w:w="992" w:type="dxa"/>
          </w:tcPr>
          <w:p w:rsidR="00F23185" w:rsidRPr="006E6617" w:rsidRDefault="00F23185" w:rsidP="00401DA9">
            <w:pPr>
              <w:widowControl w:val="0"/>
              <w:spacing w:after="0" w:line="240" w:lineRule="auto"/>
              <w:jc w:val="center"/>
              <w:rPr>
                <w:rFonts w:ascii="Times New Roman" w:hAnsi="Times New Roman" w:cs="Times New Roman"/>
                <w:b/>
                <w:sz w:val="16"/>
                <w:szCs w:val="16"/>
                <w:vertAlign w:val="superscript"/>
              </w:rPr>
            </w:pPr>
            <w:r w:rsidRPr="006E6617">
              <w:rPr>
                <w:rFonts w:ascii="Times New Roman" w:hAnsi="Times New Roman" w:cs="Times New Roman"/>
                <w:b/>
                <w:sz w:val="16"/>
                <w:szCs w:val="16"/>
                <w:vertAlign w:val="superscript"/>
              </w:rPr>
              <w:t>5 677 500,00</w:t>
            </w:r>
          </w:p>
        </w:tc>
        <w:tc>
          <w:tcPr>
            <w:tcW w:w="850" w:type="dxa"/>
          </w:tcPr>
          <w:p w:rsidR="00F23185" w:rsidRDefault="00F23185" w:rsidP="000D4930">
            <w:pPr>
              <w:pStyle w:val="Default"/>
              <w:jc w:val="center"/>
              <w:rPr>
                <w:b/>
                <w:sz w:val="16"/>
                <w:szCs w:val="16"/>
                <w:vertAlign w:val="superscript"/>
              </w:rPr>
            </w:pPr>
            <w:r>
              <w:rPr>
                <w:b/>
                <w:sz w:val="16"/>
                <w:szCs w:val="16"/>
                <w:vertAlign w:val="superscript"/>
              </w:rPr>
              <w:t>4 806 937,29</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8 278 655,70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145,82</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172,22</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22,07</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3 741 405,00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45,19</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11,39</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3 771 405,00</w:t>
            </w:r>
          </w:p>
        </w:tc>
        <w:tc>
          <w:tcPr>
            <w:tcW w:w="567" w:type="dxa"/>
          </w:tcPr>
          <w:p w:rsidR="00F23185" w:rsidRDefault="00461FB9" w:rsidP="00401DA9">
            <w:pPr>
              <w:pStyle w:val="Default"/>
              <w:jc w:val="center"/>
              <w:rPr>
                <w:b/>
                <w:sz w:val="16"/>
                <w:szCs w:val="16"/>
                <w:vertAlign w:val="superscript"/>
              </w:rPr>
            </w:pPr>
            <w:r>
              <w:rPr>
                <w:b/>
                <w:sz w:val="16"/>
                <w:szCs w:val="16"/>
                <w:vertAlign w:val="superscript"/>
              </w:rPr>
              <w:t>100,80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10,74</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Доходы от использования имущества, находящегося в государственной и муниципальной собственности</w:t>
            </w:r>
          </w:p>
          <w:p w:rsidR="00F23185" w:rsidRDefault="00F23185" w:rsidP="00401DA9">
            <w:pPr>
              <w:widowControl w:val="0"/>
              <w:spacing w:after="0" w:line="240" w:lineRule="auto"/>
              <w:jc w:val="center"/>
              <w:rPr>
                <w:rFonts w:ascii="Times New Roman" w:hAnsi="Times New Roman" w:cs="Times New Roman"/>
                <w:vertAlign w:val="subscript"/>
              </w:rPr>
            </w:pP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5 620 000,00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4 331 212,44</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7 378 350,70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131,29</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170,35</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19,67</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2 841 100,00</w:t>
            </w:r>
          </w:p>
        </w:tc>
        <w:tc>
          <w:tcPr>
            <w:tcW w:w="567" w:type="dxa"/>
          </w:tcPr>
          <w:p w:rsidR="00F23185" w:rsidRDefault="00F23185" w:rsidP="00B72FF5">
            <w:pPr>
              <w:pStyle w:val="Default"/>
              <w:jc w:val="center"/>
              <w:rPr>
                <w:b/>
                <w:sz w:val="16"/>
                <w:szCs w:val="16"/>
                <w:vertAlign w:val="superscript"/>
              </w:rPr>
            </w:pPr>
            <w:r>
              <w:rPr>
                <w:b/>
                <w:sz w:val="16"/>
                <w:szCs w:val="16"/>
                <w:vertAlign w:val="superscript"/>
              </w:rPr>
              <w:t>38</w:t>
            </w:r>
            <w:r w:rsidR="00B72FF5">
              <w:rPr>
                <w:b/>
                <w:sz w:val="16"/>
                <w:szCs w:val="16"/>
                <w:vertAlign w:val="superscript"/>
              </w:rPr>
              <w:t>,</w:t>
            </w:r>
            <w:r>
              <w:rPr>
                <w:b/>
                <w:sz w:val="16"/>
                <w:szCs w:val="16"/>
                <w:vertAlign w:val="superscript"/>
              </w:rPr>
              <w:t>5</w:t>
            </w:r>
            <w:r w:rsidR="00B72FF5">
              <w:rPr>
                <w:b/>
                <w:sz w:val="16"/>
                <w:szCs w:val="16"/>
                <w:vertAlign w:val="superscript"/>
              </w:rPr>
              <w:t>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8,65</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2 871 100,00</w:t>
            </w:r>
          </w:p>
        </w:tc>
        <w:tc>
          <w:tcPr>
            <w:tcW w:w="567" w:type="dxa"/>
          </w:tcPr>
          <w:p w:rsidR="00F23185" w:rsidRDefault="00461FB9" w:rsidP="00461FB9">
            <w:pPr>
              <w:pStyle w:val="Default"/>
              <w:jc w:val="center"/>
              <w:rPr>
                <w:b/>
                <w:sz w:val="16"/>
                <w:szCs w:val="16"/>
                <w:vertAlign w:val="superscript"/>
              </w:rPr>
            </w:pPr>
            <w:r>
              <w:rPr>
                <w:b/>
                <w:sz w:val="16"/>
                <w:szCs w:val="16"/>
                <w:vertAlign w:val="superscript"/>
              </w:rPr>
              <w:t>101,06</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8,18</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Доходы от оказания платных услуг и компенсации затрат государства</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200 000,00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800 000,00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200,00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2,13</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 xml:space="preserve">800 000,00 </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2,44</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800 000,00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2,28</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 xml:space="preserve">Доходы от продажи материальных и </w:t>
            </w:r>
            <w:r>
              <w:rPr>
                <w:rFonts w:ascii="Times New Roman" w:eastAsia="Times New Roman" w:hAnsi="Times New Roman" w:cs="Times New Roman"/>
                <w:sz w:val="20"/>
                <w:vertAlign w:val="subscript"/>
              </w:rPr>
              <w:lastRenderedPageBreak/>
              <w:t>нематериальных активов</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lastRenderedPageBreak/>
              <w:t>57 500,00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240 507,45</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100 000,00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173,91</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41,58</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0,27</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100 000,00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0,30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100 000,00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0,28</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lastRenderedPageBreak/>
              <w:t>Штрафы, санкции, возмещение ущерба</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34 912,38</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Прочие неналоговые доходы</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305,02</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305,00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0,00</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305,00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0,00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305,00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0,00</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b/>
                <w:i/>
                <w:vertAlign w:val="subscript"/>
              </w:rPr>
            </w:pPr>
            <w:r>
              <w:rPr>
                <w:rFonts w:ascii="Times New Roman" w:eastAsia="Times New Roman" w:hAnsi="Times New Roman" w:cs="Times New Roman"/>
                <w:b/>
                <w:i/>
                <w:sz w:val="20"/>
                <w:vertAlign w:val="subscript"/>
              </w:rPr>
              <w:t>Безвозмездные поступления</w:t>
            </w:r>
          </w:p>
        </w:tc>
        <w:tc>
          <w:tcPr>
            <w:tcW w:w="992" w:type="dxa"/>
          </w:tcPr>
          <w:p w:rsidR="00F23185" w:rsidRPr="006E6617" w:rsidRDefault="00F23185" w:rsidP="00401DA9">
            <w:pPr>
              <w:widowControl w:val="0"/>
              <w:spacing w:after="0" w:line="240" w:lineRule="auto"/>
              <w:jc w:val="center"/>
              <w:rPr>
                <w:rFonts w:ascii="Times New Roman" w:hAnsi="Times New Roman" w:cs="Times New Roman"/>
                <w:b/>
                <w:sz w:val="16"/>
                <w:szCs w:val="16"/>
                <w:vertAlign w:val="superscript"/>
              </w:rPr>
            </w:pPr>
            <w:r w:rsidRPr="006E6617">
              <w:rPr>
                <w:rFonts w:ascii="Times New Roman" w:hAnsi="Times New Roman" w:cs="Times New Roman"/>
                <w:b/>
                <w:sz w:val="16"/>
                <w:szCs w:val="16"/>
                <w:vertAlign w:val="superscript"/>
              </w:rPr>
              <w:t>5 866 643,06</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26 465 694,86</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5 748 198,00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97,98</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217,19</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15,32</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4 598 558,34</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80,00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14,00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4 598 558,34</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13,10</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sz w:val="20"/>
                <w:vertAlign w:val="subscript"/>
              </w:rPr>
              <w:t>Дотации бюджетам бюджетной системы Российской Федерации</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5 135 485,06</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5 135 485,06</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5 748 198,00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111,93</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111,93</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15,32</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4 598 558,34</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80,00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14,00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4 598 558,34</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13,10</w:t>
            </w:r>
          </w:p>
        </w:tc>
      </w:tr>
      <w:tr w:rsidR="00F23185" w:rsidRPr="005358BE" w:rsidTr="00401DA9">
        <w:tc>
          <w:tcPr>
            <w:tcW w:w="1101" w:type="dxa"/>
          </w:tcPr>
          <w:p w:rsidR="00F23185" w:rsidRPr="000D4930" w:rsidRDefault="00F23185" w:rsidP="00401DA9">
            <w:pPr>
              <w:widowControl w:val="0"/>
              <w:spacing w:after="0" w:line="240" w:lineRule="auto"/>
              <w:jc w:val="center"/>
              <w:rPr>
                <w:rFonts w:ascii="Times New Roman" w:eastAsia="Times New Roman" w:hAnsi="Times New Roman" w:cs="Times New Roman"/>
                <w:sz w:val="20"/>
                <w:vertAlign w:val="superscript"/>
              </w:rPr>
            </w:pPr>
            <w:r w:rsidRPr="000D4930">
              <w:rPr>
                <w:rFonts w:ascii="Times New Roman" w:eastAsia="Times New Roman" w:hAnsi="Times New Roman"/>
                <w:sz w:val="20"/>
                <w:vertAlign w:val="superscript"/>
              </w:rPr>
              <w:t>Субсидии бюджетам бюджетной системы Российской Федерации (межбюджетные субсидии)</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20 557 071,80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w:t>
            </w:r>
          </w:p>
        </w:tc>
      </w:tr>
      <w:tr w:rsidR="00F23185" w:rsidRPr="005358BE" w:rsidTr="00401DA9">
        <w:tc>
          <w:tcPr>
            <w:tcW w:w="1101" w:type="dxa"/>
          </w:tcPr>
          <w:p w:rsidR="00F23185" w:rsidRPr="000D4930" w:rsidRDefault="00F23185" w:rsidP="00401DA9">
            <w:pPr>
              <w:widowControl w:val="0"/>
              <w:spacing w:after="0" w:line="240" w:lineRule="auto"/>
              <w:jc w:val="center"/>
              <w:rPr>
                <w:rFonts w:ascii="Times New Roman" w:hAnsi="Times New Roman" w:cs="Times New Roman"/>
                <w:sz w:val="20"/>
                <w:vertAlign w:val="subscript"/>
              </w:rPr>
            </w:pPr>
            <w:r w:rsidRPr="000D4930">
              <w:rPr>
                <w:rFonts w:ascii="Times New Roman" w:eastAsia="Times New Roman" w:hAnsi="Times New Roman" w:cs="Times New Roman"/>
                <w:sz w:val="20"/>
                <w:vertAlign w:val="subscript"/>
              </w:rPr>
              <w:t>Субвенции бюджетам бюджетной системы Российской Федерации</w:t>
            </w:r>
          </w:p>
        </w:tc>
        <w:tc>
          <w:tcPr>
            <w:tcW w:w="992" w:type="dxa"/>
          </w:tcPr>
          <w:p w:rsidR="00F23185" w:rsidRPr="006E6617" w:rsidRDefault="00F23185" w:rsidP="00401DA9">
            <w:pPr>
              <w:widowControl w:val="0"/>
              <w:spacing w:after="0" w:line="240" w:lineRule="auto"/>
              <w:jc w:val="cente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731 158,00</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731 158,00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sz w:val="20"/>
                <w:vertAlign w:val="subscript"/>
              </w:rPr>
              <w:t>Иные межбюджетные трансферты</w:t>
            </w:r>
          </w:p>
        </w:tc>
        <w:tc>
          <w:tcPr>
            <w:tcW w:w="992" w:type="dxa"/>
          </w:tcPr>
          <w:p w:rsidR="00F23185" w:rsidRPr="006E6617" w:rsidRDefault="00F23185" w:rsidP="00401DA9">
            <w:pPr>
              <w:rPr>
                <w:rFonts w:ascii="Times New Roman" w:hAnsi="Times New Roman" w:cs="Times New Roman"/>
                <w:sz w:val="16"/>
                <w:szCs w:val="16"/>
                <w:vertAlign w:val="superscript"/>
              </w:rPr>
            </w:pPr>
            <w:r w:rsidRPr="006E6617">
              <w:rPr>
                <w:rFonts w:ascii="Times New Roman" w:hAnsi="Times New Roman" w:cs="Times New Roman"/>
                <w:sz w:val="16"/>
                <w:szCs w:val="16"/>
                <w:vertAlign w:val="superscript"/>
              </w:rPr>
              <w:t>-</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21 980,00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w:t>
            </w:r>
          </w:p>
        </w:tc>
      </w:tr>
      <w:tr w:rsidR="00F23185" w:rsidRPr="005358BE" w:rsidTr="00401DA9">
        <w:tc>
          <w:tcPr>
            <w:tcW w:w="1101" w:type="dxa"/>
          </w:tcPr>
          <w:p w:rsidR="00F23185" w:rsidRDefault="00F23185" w:rsidP="00401DA9">
            <w:pPr>
              <w:widowControl w:val="0"/>
              <w:spacing w:after="0" w:line="240" w:lineRule="auto"/>
              <w:jc w:val="center"/>
              <w:rPr>
                <w:rFonts w:ascii="Times New Roman" w:eastAsia="Times New Roman" w:hAnsi="Times New Roman" w:cs="Times New Roman"/>
                <w:sz w:val="20"/>
                <w:vertAlign w:val="subscript"/>
              </w:rPr>
            </w:pPr>
            <w:r>
              <w:rPr>
                <w:rFonts w:ascii="Times New Roman" w:eastAsia="Times New Roman" w:hAnsi="Times New Roman" w:cs="Times New Roman"/>
                <w:sz w:val="20"/>
                <w:vertAlign w:val="subscript"/>
              </w:rPr>
              <w:t>Прочие безвозмездные поступления</w:t>
            </w:r>
          </w:p>
        </w:tc>
        <w:tc>
          <w:tcPr>
            <w:tcW w:w="992" w:type="dxa"/>
          </w:tcPr>
          <w:p w:rsidR="00F23185" w:rsidRPr="006E6617" w:rsidRDefault="00F23185" w:rsidP="00401DA9">
            <w:pPr>
              <w:rPr>
                <w:rFonts w:ascii="Times New Roman" w:hAnsi="Times New Roman" w:cs="Times New Roman"/>
                <w:sz w:val="16"/>
                <w:szCs w:val="16"/>
                <w:vertAlign w:val="superscript"/>
              </w:rPr>
            </w:pPr>
          </w:p>
        </w:tc>
        <w:tc>
          <w:tcPr>
            <w:tcW w:w="850" w:type="dxa"/>
          </w:tcPr>
          <w:p w:rsidR="00F23185" w:rsidRDefault="00F23185" w:rsidP="00401DA9">
            <w:pPr>
              <w:pStyle w:val="Default"/>
              <w:jc w:val="center"/>
              <w:rPr>
                <w:b/>
                <w:sz w:val="16"/>
                <w:szCs w:val="16"/>
                <w:vertAlign w:val="superscript"/>
              </w:rPr>
            </w:pPr>
            <w:r>
              <w:rPr>
                <w:b/>
                <w:sz w:val="16"/>
                <w:szCs w:val="16"/>
                <w:vertAlign w:val="superscript"/>
              </w:rPr>
              <w:t>20 000,00</w:t>
            </w:r>
          </w:p>
        </w:tc>
        <w:tc>
          <w:tcPr>
            <w:tcW w:w="851" w:type="dxa"/>
          </w:tcPr>
          <w:p w:rsidR="00F23185" w:rsidRDefault="00F23185" w:rsidP="00401DA9">
            <w:pPr>
              <w:pStyle w:val="Default"/>
              <w:jc w:val="center"/>
              <w:rPr>
                <w:b/>
                <w:sz w:val="16"/>
                <w:szCs w:val="16"/>
                <w:vertAlign w:val="superscript"/>
              </w:rPr>
            </w:pP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w:t>
            </w:r>
          </w:p>
        </w:tc>
      </w:tr>
      <w:tr w:rsidR="00F23185" w:rsidRPr="005358BE" w:rsidTr="00401DA9">
        <w:tc>
          <w:tcPr>
            <w:tcW w:w="1101" w:type="dxa"/>
          </w:tcPr>
          <w:p w:rsidR="00F23185" w:rsidRDefault="00F23185" w:rsidP="00401DA9">
            <w:pPr>
              <w:widowControl w:val="0"/>
              <w:spacing w:after="0" w:line="240" w:lineRule="auto"/>
              <w:jc w:val="center"/>
              <w:rPr>
                <w:rFonts w:ascii="Times New Roman" w:hAnsi="Times New Roman" w:cs="Times New Roman"/>
                <w:b/>
                <w:vertAlign w:val="subscript"/>
              </w:rPr>
            </w:pPr>
            <w:r>
              <w:rPr>
                <w:rFonts w:ascii="Times New Roman" w:eastAsia="Times New Roman" w:hAnsi="Times New Roman" w:cs="Times New Roman"/>
                <w:b/>
                <w:sz w:val="20"/>
                <w:vertAlign w:val="subscript"/>
              </w:rPr>
              <w:t>Всего доходов</w:t>
            </w:r>
          </w:p>
        </w:tc>
        <w:tc>
          <w:tcPr>
            <w:tcW w:w="992" w:type="dxa"/>
          </w:tcPr>
          <w:p w:rsidR="00F23185" w:rsidRPr="006E6617" w:rsidRDefault="00F23185" w:rsidP="00401DA9">
            <w:pPr>
              <w:widowControl w:val="0"/>
              <w:spacing w:after="0" w:line="240" w:lineRule="auto"/>
              <w:jc w:val="center"/>
              <w:rPr>
                <w:rFonts w:ascii="Times New Roman" w:hAnsi="Times New Roman" w:cs="Times New Roman"/>
                <w:b/>
                <w:sz w:val="16"/>
                <w:szCs w:val="16"/>
                <w:vertAlign w:val="superscript"/>
              </w:rPr>
            </w:pPr>
            <w:r w:rsidRPr="006E6617">
              <w:rPr>
                <w:rFonts w:ascii="Times New Roman" w:hAnsi="Times New Roman" w:cs="Times New Roman"/>
                <w:b/>
                <w:sz w:val="16"/>
                <w:szCs w:val="16"/>
                <w:vertAlign w:val="superscript"/>
              </w:rPr>
              <w:t>30 876 703,06</w:t>
            </w:r>
          </w:p>
        </w:tc>
        <w:tc>
          <w:tcPr>
            <w:tcW w:w="850" w:type="dxa"/>
          </w:tcPr>
          <w:p w:rsidR="00F23185" w:rsidRDefault="00F23185" w:rsidP="00401DA9">
            <w:pPr>
              <w:pStyle w:val="Default"/>
              <w:jc w:val="center"/>
              <w:rPr>
                <w:b/>
                <w:sz w:val="16"/>
                <w:szCs w:val="16"/>
                <w:vertAlign w:val="superscript"/>
              </w:rPr>
            </w:pPr>
            <w:r>
              <w:rPr>
                <w:b/>
                <w:sz w:val="16"/>
                <w:szCs w:val="16"/>
                <w:vertAlign w:val="superscript"/>
              </w:rPr>
              <w:t>51 475 754,86</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37 510 338,70</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121,48</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72,87</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992" w:type="dxa"/>
          </w:tcPr>
          <w:p w:rsidR="00F23185" w:rsidRDefault="00F23185" w:rsidP="00401DA9">
            <w:pPr>
              <w:pStyle w:val="Default"/>
              <w:jc w:val="center"/>
              <w:rPr>
                <w:b/>
                <w:sz w:val="16"/>
                <w:szCs w:val="16"/>
                <w:vertAlign w:val="superscript"/>
              </w:rPr>
            </w:pPr>
            <w:r>
              <w:rPr>
                <w:b/>
                <w:sz w:val="16"/>
                <w:szCs w:val="16"/>
                <w:vertAlign w:val="superscript"/>
              </w:rPr>
              <w:t>32 849 190,32</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87,57</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100,00</w:t>
            </w:r>
          </w:p>
        </w:tc>
        <w:tc>
          <w:tcPr>
            <w:tcW w:w="851" w:type="dxa"/>
          </w:tcPr>
          <w:p w:rsidR="00F23185" w:rsidRDefault="00F23185" w:rsidP="00401DA9">
            <w:pPr>
              <w:pStyle w:val="Default"/>
              <w:jc w:val="center"/>
              <w:rPr>
                <w:b/>
                <w:sz w:val="16"/>
                <w:szCs w:val="16"/>
                <w:vertAlign w:val="superscript"/>
              </w:rPr>
            </w:pPr>
            <w:r>
              <w:rPr>
                <w:b/>
                <w:sz w:val="16"/>
                <w:szCs w:val="16"/>
                <w:vertAlign w:val="superscript"/>
              </w:rPr>
              <w:t>35 112 283,34</w:t>
            </w:r>
          </w:p>
        </w:tc>
        <w:tc>
          <w:tcPr>
            <w:tcW w:w="567" w:type="dxa"/>
          </w:tcPr>
          <w:p w:rsidR="00F23185" w:rsidRDefault="00F23185" w:rsidP="00401DA9">
            <w:pPr>
              <w:pStyle w:val="Default"/>
              <w:jc w:val="center"/>
              <w:rPr>
                <w:b/>
                <w:sz w:val="16"/>
                <w:szCs w:val="16"/>
                <w:vertAlign w:val="superscript"/>
              </w:rPr>
            </w:pPr>
            <w:r>
              <w:rPr>
                <w:b/>
                <w:sz w:val="16"/>
                <w:szCs w:val="16"/>
                <w:vertAlign w:val="superscript"/>
              </w:rPr>
              <w:t>106,89</w:t>
            </w:r>
          </w:p>
        </w:tc>
        <w:tc>
          <w:tcPr>
            <w:tcW w:w="532" w:type="dxa"/>
          </w:tcPr>
          <w:p w:rsidR="00F23185" w:rsidRDefault="00F23185" w:rsidP="00401DA9">
            <w:pPr>
              <w:pStyle w:val="Default"/>
              <w:jc w:val="center"/>
              <w:rPr>
                <w:b/>
                <w:sz w:val="16"/>
                <w:szCs w:val="16"/>
                <w:vertAlign w:val="superscript"/>
              </w:rPr>
            </w:pPr>
            <w:r>
              <w:rPr>
                <w:b/>
                <w:sz w:val="16"/>
                <w:szCs w:val="16"/>
                <w:vertAlign w:val="superscript"/>
              </w:rPr>
              <w:t>100,00</w:t>
            </w:r>
          </w:p>
        </w:tc>
      </w:tr>
    </w:tbl>
    <w:p w:rsidR="00AA5DF5" w:rsidRDefault="00AA5DF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доходных источников преобладают налоговые и неналоговые доходы, которые в 2024 и плановом периоде 2025,2026 годах занимают удельный вес более 84%, соответственно безвозмездные поступления в проекте бюджета занимают долю от 13% до 15%.   </w:t>
      </w:r>
      <w:r w:rsidR="003F6358">
        <w:rPr>
          <w:rFonts w:ascii="Times New Roman" w:hAnsi="Times New Roman" w:cs="Times New Roman"/>
          <w:sz w:val="24"/>
          <w:szCs w:val="24"/>
        </w:rPr>
        <w:tab/>
      </w:r>
    </w:p>
    <w:p w:rsidR="00F406B9" w:rsidRDefault="003F6358" w:rsidP="008A320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группе доходных источников налоговых и неналоговых доходов  в 202</w:t>
      </w:r>
      <w:r w:rsidR="00AA5DF5">
        <w:rPr>
          <w:rFonts w:ascii="Times New Roman" w:hAnsi="Times New Roman" w:cs="Times New Roman"/>
          <w:sz w:val="24"/>
          <w:szCs w:val="24"/>
        </w:rPr>
        <w:t>4</w:t>
      </w:r>
      <w:r>
        <w:rPr>
          <w:rFonts w:ascii="Times New Roman" w:hAnsi="Times New Roman" w:cs="Times New Roman"/>
          <w:sz w:val="24"/>
          <w:szCs w:val="24"/>
        </w:rPr>
        <w:t xml:space="preserve"> году планируется рост объема поступлений относительно утвержденного бюджета на 202</w:t>
      </w:r>
      <w:r w:rsidR="00AA5DF5">
        <w:rPr>
          <w:rFonts w:ascii="Times New Roman" w:hAnsi="Times New Roman" w:cs="Times New Roman"/>
          <w:sz w:val="24"/>
          <w:szCs w:val="24"/>
        </w:rPr>
        <w:t>3</w:t>
      </w:r>
      <w:r>
        <w:rPr>
          <w:rFonts w:ascii="Times New Roman" w:hAnsi="Times New Roman" w:cs="Times New Roman"/>
          <w:sz w:val="24"/>
          <w:szCs w:val="24"/>
        </w:rPr>
        <w:t xml:space="preserve"> год </w:t>
      </w:r>
      <w:r w:rsidR="00AF3617">
        <w:rPr>
          <w:rFonts w:ascii="Times New Roman" w:hAnsi="Times New Roman" w:cs="Times New Roman"/>
          <w:sz w:val="24"/>
          <w:szCs w:val="24"/>
        </w:rPr>
        <w:t>к</w:t>
      </w:r>
      <w:r>
        <w:rPr>
          <w:rFonts w:ascii="Times New Roman" w:hAnsi="Times New Roman" w:cs="Times New Roman"/>
          <w:sz w:val="24"/>
          <w:szCs w:val="24"/>
        </w:rPr>
        <w:t xml:space="preserve"> первоначальной</w:t>
      </w:r>
      <w:r w:rsidR="00AF3617">
        <w:rPr>
          <w:rFonts w:ascii="Times New Roman" w:hAnsi="Times New Roman" w:cs="Times New Roman"/>
          <w:sz w:val="24"/>
          <w:szCs w:val="24"/>
        </w:rPr>
        <w:t xml:space="preserve"> и уточненной редакции</w:t>
      </w:r>
      <w:r>
        <w:rPr>
          <w:rFonts w:ascii="Times New Roman" w:hAnsi="Times New Roman" w:cs="Times New Roman"/>
          <w:sz w:val="24"/>
          <w:szCs w:val="24"/>
        </w:rPr>
        <w:t xml:space="preserve"> на </w:t>
      </w:r>
      <w:r w:rsidR="00AA5DF5">
        <w:rPr>
          <w:rFonts w:ascii="Times New Roman" w:hAnsi="Times New Roman" w:cs="Times New Roman"/>
          <w:sz w:val="24"/>
          <w:szCs w:val="24"/>
        </w:rPr>
        <w:t>27,00%</w:t>
      </w:r>
      <w:r>
        <w:rPr>
          <w:rFonts w:ascii="Times New Roman" w:hAnsi="Times New Roman" w:cs="Times New Roman"/>
          <w:sz w:val="24"/>
          <w:szCs w:val="24"/>
        </w:rPr>
        <w:t>. Поступление доходов данной группы в плановом периоде 202</w:t>
      </w:r>
      <w:r w:rsidR="00F21335">
        <w:rPr>
          <w:rFonts w:ascii="Times New Roman" w:hAnsi="Times New Roman" w:cs="Times New Roman"/>
          <w:sz w:val="24"/>
          <w:szCs w:val="24"/>
        </w:rPr>
        <w:t>5</w:t>
      </w:r>
      <w:r>
        <w:rPr>
          <w:rFonts w:ascii="Times New Roman" w:hAnsi="Times New Roman" w:cs="Times New Roman"/>
          <w:sz w:val="24"/>
          <w:szCs w:val="24"/>
        </w:rPr>
        <w:t xml:space="preserve"> года планируется с</w:t>
      </w:r>
      <w:r w:rsidR="00AF3617">
        <w:rPr>
          <w:rFonts w:ascii="Times New Roman" w:hAnsi="Times New Roman" w:cs="Times New Roman"/>
          <w:sz w:val="24"/>
          <w:szCs w:val="24"/>
        </w:rPr>
        <w:t xml:space="preserve">о снижением </w:t>
      </w:r>
      <w:r>
        <w:rPr>
          <w:rFonts w:ascii="Times New Roman" w:hAnsi="Times New Roman" w:cs="Times New Roman"/>
          <w:sz w:val="24"/>
          <w:szCs w:val="24"/>
        </w:rPr>
        <w:t>к 202</w:t>
      </w:r>
      <w:r w:rsidR="00F21335">
        <w:rPr>
          <w:rFonts w:ascii="Times New Roman" w:hAnsi="Times New Roman" w:cs="Times New Roman"/>
          <w:sz w:val="24"/>
          <w:szCs w:val="24"/>
        </w:rPr>
        <w:t>4</w:t>
      </w:r>
      <w:r>
        <w:rPr>
          <w:rFonts w:ascii="Times New Roman" w:hAnsi="Times New Roman" w:cs="Times New Roman"/>
          <w:sz w:val="24"/>
          <w:szCs w:val="24"/>
        </w:rPr>
        <w:t xml:space="preserve"> году на </w:t>
      </w:r>
      <w:r w:rsidR="00F21335">
        <w:rPr>
          <w:rFonts w:ascii="Times New Roman" w:hAnsi="Times New Roman" w:cs="Times New Roman"/>
          <w:sz w:val="24"/>
          <w:szCs w:val="24"/>
        </w:rPr>
        <w:t>11,06</w:t>
      </w:r>
      <w:r>
        <w:rPr>
          <w:rFonts w:ascii="Times New Roman" w:hAnsi="Times New Roman" w:cs="Times New Roman"/>
          <w:sz w:val="24"/>
          <w:szCs w:val="24"/>
        </w:rPr>
        <w:t>%, и в 202</w:t>
      </w:r>
      <w:r w:rsidR="00F21335">
        <w:rPr>
          <w:rFonts w:ascii="Times New Roman" w:hAnsi="Times New Roman" w:cs="Times New Roman"/>
          <w:sz w:val="24"/>
          <w:szCs w:val="24"/>
        </w:rPr>
        <w:t>6</w:t>
      </w:r>
      <w:r>
        <w:rPr>
          <w:rFonts w:ascii="Times New Roman" w:hAnsi="Times New Roman" w:cs="Times New Roman"/>
          <w:sz w:val="24"/>
          <w:szCs w:val="24"/>
        </w:rPr>
        <w:t xml:space="preserve"> году </w:t>
      </w:r>
      <w:r w:rsidR="00F21335">
        <w:rPr>
          <w:rFonts w:ascii="Times New Roman" w:hAnsi="Times New Roman" w:cs="Times New Roman"/>
          <w:sz w:val="24"/>
          <w:szCs w:val="24"/>
        </w:rPr>
        <w:t>планируется</w:t>
      </w:r>
      <w:r>
        <w:rPr>
          <w:rFonts w:ascii="Times New Roman" w:hAnsi="Times New Roman" w:cs="Times New Roman"/>
          <w:sz w:val="24"/>
          <w:szCs w:val="24"/>
        </w:rPr>
        <w:t xml:space="preserve"> рост к 202</w:t>
      </w:r>
      <w:r w:rsidR="00F21335">
        <w:rPr>
          <w:rFonts w:ascii="Times New Roman" w:hAnsi="Times New Roman" w:cs="Times New Roman"/>
          <w:sz w:val="24"/>
          <w:szCs w:val="24"/>
        </w:rPr>
        <w:t>5</w:t>
      </w:r>
      <w:r>
        <w:rPr>
          <w:rFonts w:ascii="Times New Roman" w:hAnsi="Times New Roman" w:cs="Times New Roman"/>
          <w:sz w:val="24"/>
          <w:szCs w:val="24"/>
        </w:rPr>
        <w:t xml:space="preserve"> году на </w:t>
      </w:r>
      <w:r w:rsidR="00F21335">
        <w:rPr>
          <w:rFonts w:ascii="Times New Roman" w:hAnsi="Times New Roman" w:cs="Times New Roman"/>
          <w:sz w:val="24"/>
          <w:szCs w:val="24"/>
        </w:rPr>
        <w:t>8,01</w:t>
      </w:r>
      <w:r>
        <w:rPr>
          <w:rFonts w:ascii="Times New Roman" w:hAnsi="Times New Roman" w:cs="Times New Roman"/>
          <w:sz w:val="24"/>
          <w:szCs w:val="24"/>
        </w:rPr>
        <w:t xml:space="preserve">%.  В то же время динамика налоговых поступлений </w:t>
      </w:r>
      <w:r w:rsidR="00F406B9">
        <w:rPr>
          <w:rFonts w:ascii="Times New Roman" w:hAnsi="Times New Roman" w:cs="Times New Roman"/>
          <w:sz w:val="24"/>
          <w:szCs w:val="24"/>
        </w:rPr>
        <w:t>к первоначальной редакции бюджета 202</w:t>
      </w:r>
      <w:r w:rsidR="00F21335">
        <w:rPr>
          <w:rFonts w:ascii="Times New Roman" w:hAnsi="Times New Roman" w:cs="Times New Roman"/>
          <w:sz w:val="24"/>
          <w:szCs w:val="24"/>
        </w:rPr>
        <w:t>3</w:t>
      </w:r>
      <w:r w:rsidR="00F406B9">
        <w:rPr>
          <w:rFonts w:ascii="Times New Roman" w:hAnsi="Times New Roman" w:cs="Times New Roman"/>
          <w:sz w:val="24"/>
          <w:szCs w:val="24"/>
        </w:rPr>
        <w:t xml:space="preserve"> года на 202</w:t>
      </w:r>
      <w:r w:rsidR="00F21335">
        <w:rPr>
          <w:rFonts w:ascii="Times New Roman" w:hAnsi="Times New Roman" w:cs="Times New Roman"/>
          <w:sz w:val="24"/>
          <w:szCs w:val="24"/>
        </w:rPr>
        <w:t>4</w:t>
      </w:r>
      <w:r w:rsidR="00F406B9">
        <w:rPr>
          <w:rFonts w:ascii="Times New Roman" w:hAnsi="Times New Roman" w:cs="Times New Roman"/>
          <w:sz w:val="24"/>
          <w:szCs w:val="24"/>
        </w:rPr>
        <w:t xml:space="preserve"> год  и плановый период 202</w:t>
      </w:r>
      <w:r w:rsidR="00F21335">
        <w:rPr>
          <w:rFonts w:ascii="Times New Roman" w:hAnsi="Times New Roman" w:cs="Times New Roman"/>
          <w:sz w:val="24"/>
          <w:szCs w:val="24"/>
        </w:rPr>
        <w:t>5</w:t>
      </w:r>
      <w:r w:rsidR="00F406B9">
        <w:rPr>
          <w:rFonts w:ascii="Times New Roman" w:hAnsi="Times New Roman" w:cs="Times New Roman"/>
          <w:sz w:val="24"/>
          <w:szCs w:val="24"/>
        </w:rPr>
        <w:t xml:space="preserve"> и 202</w:t>
      </w:r>
      <w:r w:rsidR="00F21335">
        <w:rPr>
          <w:rFonts w:ascii="Times New Roman" w:hAnsi="Times New Roman" w:cs="Times New Roman"/>
          <w:sz w:val="24"/>
          <w:szCs w:val="24"/>
        </w:rPr>
        <w:t>6</w:t>
      </w:r>
      <w:r w:rsidR="00F406B9">
        <w:rPr>
          <w:rFonts w:ascii="Times New Roman" w:hAnsi="Times New Roman" w:cs="Times New Roman"/>
          <w:sz w:val="24"/>
          <w:szCs w:val="24"/>
        </w:rPr>
        <w:t xml:space="preserve"> годов запланирована с ростом.</w:t>
      </w:r>
      <w:r w:rsidR="00F21335">
        <w:rPr>
          <w:rFonts w:ascii="Times New Roman" w:hAnsi="Times New Roman" w:cs="Times New Roman"/>
          <w:sz w:val="24"/>
          <w:szCs w:val="24"/>
        </w:rPr>
        <w:t xml:space="preserve"> Налоговые доходы в структуре налоговых и неналоговых доходов занимают более 70,00%.</w:t>
      </w:r>
      <w:r w:rsidR="00F406B9">
        <w:rPr>
          <w:rFonts w:ascii="Times New Roman" w:hAnsi="Times New Roman" w:cs="Times New Roman"/>
          <w:sz w:val="24"/>
          <w:szCs w:val="24"/>
        </w:rPr>
        <w:t xml:space="preserve"> </w:t>
      </w:r>
    </w:p>
    <w:p w:rsidR="008A320D" w:rsidRDefault="00F21335" w:rsidP="008A320D">
      <w:pPr>
        <w:pStyle w:val="western"/>
        <w:spacing w:beforeAutospacing="0" w:after="0"/>
        <w:ind w:firstLine="709"/>
        <w:rPr>
          <w:sz w:val="24"/>
          <w:szCs w:val="24"/>
        </w:rPr>
      </w:pPr>
      <w:r>
        <w:rPr>
          <w:sz w:val="24"/>
          <w:szCs w:val="24"/>
        </w:rPr>
        <w:t xml:space="preserve">В структуре налоговых доходов поступление </w:t>
      </w:r>
      <w:r w:rsidRPr="00462D80">
        <w:rPr>
          <w:b/>
          <w:sz w:val="24"/>
          <w:szCs w:val="24"/>
        </w:rPr>
        <w:t>Налога на доход физических лиц</w:t>
      </w:r>
      <w:r>
        <w:rPr>
          <w:sz w:val="24"/>
          <w:szCs w:val="24"/>
        </w:rPr>
        <w:t xml:space="preserve"> занимает 65%. Прогноз поступлений </w:t>
      </w:r>
      <w:r w:rsidRPr="008A320D">
        <w:rPr>
          <w:sz w:val="24"/>
          <w:szCs w:val="24"/>
        </w:rPr>
        <w:t xml:space="preserve">налога </w:t>
      </w:r>
      <w:r w:rsidR="008A320D" w:rsidRPr="008A320D">
        <w:rPr>
          <w:sz w:val="24"/>
          <w:szCs w:val="24"/>
        </w:rPr>
        <w:t>определен исходя из объема налоговой базы согласно данным отчета о налоговой базе и структуре начислений по налогу на доходы физических лиц</w:t>
      </w:r>
      <w:r w:rsidR="008A320D">
        <w:rPr>
          <w:sz w:val="24"/>
          <w:szCs w:val="24"/>
        </w:rPr>
        <w:t>.</w:t>
      </w:r>
      <w:r w:rsidR="001E05F8">
        <w:rPr>
          <w:sz w:val="24"/>
          <w:szCs w:val="24"/>
        </w:rPr>
        <w:t xml:space="preserve"> В 2024 году поступление налога на доход физических лиц в местный бюджет планируется с ростом к первоначальной и уточненной редакции бюджета 2023 года на 16,88% или 2 209 348,00 рублей. В плановом 2025 году планируется положител</w:t>
      </w:r>
      <w:r w:rsidR="001E05F8">
        <w:rPr>
          <w:sz w:val="24"/>
          <w:szCs w:val="24"/>
        </w:rPr>
        <w:t>ь</w:t>
      </w:r>
      <w:r w:rsidR="001E05F8">
        <w:rPr>
          <w:sz w:val="24"/>
          <w:szCs w:val="24"/>
        </w:rPr>
        <w:t>ная динамика  поступления с ростом на 5,78</w:t>
      </w:r>
      <w:r w:rsidR="00462D80">
        <w:rPr>
          <w:sz w:val="24"/>
          <w:szCs w:val="24"/>
        </w:rPr>
        <w:t>% или 883 639,00 рублей</w:t>
      </w:r>
      <w:r w:rsidR="001E05F8">
        <w:rPr>
          <w:sz w:val="24"/>
          <w:szCs w:val="24"/>
        </w:rPr>
        <w:t xml:space="preserve"> к 2024 году и в 2026 году с ростом к 2025 году на 5,49% или </w:t>
      </w:r>
      <w:r w:rsidR="00462D80">
        <w:rPr>
          <w:sz w:val="24"/>
          <w:szCs w:val="24"/>
        </w:rPr>
        <w:t>888 330,00 рублей.</w:t>
      </w:r>
    </w:p>
    <w:p w:rsidR="00462D80" w:rsidRDefault="00462D80" w:rsidP="008701B1">
      <w:pPr>
        <w:pStyle w:val="western"/>
        <w:spacing w:beforeAutospacing="0" w:after="0"/>
        <w:ind w:firstLine="709"/>
        <w:jc w:val="both"/>
        <w:rPr>
          <w:sz w:val="24"/>
          <w:szCs w:val="24"/>
        </w:rPr>
      </w:pPr>
      <w:r w:rsidRPr="008701B1">
        <w:rPr>
          <w:b/>
          <w:sz w:val="24"/>
          <w:szCs w:val="24"/>
        </w:rPr>
        <w:lastRenderedPageBreak/>
        <w:t>Налоги на товары реализуемые на территории РФ (акцизы)</w:t>
      </w:r>
      <w:r w:rsidRPr="00462D80">
        <w:rPr>
          <w:sz w:val="24"/>
          <w:szCs w:val="24"/>
        </w:rPr>
        <w:t xml:space="preserve"> </w:t>
      </w:r>
      <w:bookmarkStart w:id="4" w:name="OLE_LINK1"/>
      <w:bookmarkStart w:id="5" w:name="OLE_LINK2"/>
      <w:r w:rsidRPr="00462D80">
        <w:rPr>
          <w:sz w:val="24"/>
          <w:szCs w:val="24"/>
        </w:rPr>
        <w:t>в структуре нал</w:t>
      </w:r>
      <w:r w:rsidRPr="00462D80">
        <w:rPr>
          <w:sz w:val="24"/>
          <w:szCs w:val="24"/>
        </w:rPr>
        <w:t>о</w:t>
      </w:r>
      <w:r w:rsidRPr="00462D80">
        <w:rPr>
          <w:sz w:val="24"/>
          <w:szCs w:val="24"/>
        </w:rPr>
        <w:t>говых источников в 2024 году имеют долю 15,2%</w:t>
      </w:r>
      <w:r>
        <w:rPr>
          <w:sz w:val="24"/>
          <w:szCs w:val="24"/>
        </w:rPr>
        <w:t xml:space="preserve"> а </w:t>
      </w:r>
      <w:r w:rsidRPr="00462D80">
        <w:rPr>
          <w:sz w:val="24"/>
          <w:szCs w:val="24"/>
        </w:rPr>
        <w:t xml:space="preserve">в общей структуре доходов занимают 9,7%. </w:t>
      </w:r>
      <w:bookmarkEnd w:id="4"/>
      <w:bookmarkEnd w:id="5"/>
      <w:r>
        <w:rPr>
          <w:sz w:val="24"/>
          <w:szCs w:val="24"/>
        </w:rPr>
        <w:t>П</w:t>
      </w:r>
      <w:r w:rsidRPr="00462D80">
        <w:rPr>
          <w:sz w:val="24"/>
          <w:szCs w:val="24"/>
        </w:rPr>
        <w:t>рогноз поступлений акцизов по подакцизным товарам произведен исходя из пр</w:t>
      </w:r>
      <w:r w:rsidRPr="00462D80">
        <w:rPr>
          <w:sz w:val="24"/>
          <w:szCs w:val="24"/>
        </w:rPr>
        <w:t>о</w:t>
      </w:r>
      <w:r w:rsidRPr="00462D80">
        <w:rPr>
          <w:sz w:val="24"/>
          <w:szCs w:val="24"/>
        </w:rPr>
        <w:t>гноза налогооблагаемого объема реализации продукции на основании динамики налог</w:t>
      </w:r>
      <w:r w:rsidRPr="00462D80">
        <w:rPr>
          <w:sz w:val="24"/>
          <w:szCs w:val="24"/>
        </w:rPr>
        <w:t>о</w:t>
      </w:r>
      <w:r w:rsidRPr="00462D80">
        <w:rPr>
          <w:sz w:val="24"/>
          <w:szCs w:val="24"/>
        </w:rPr>
        <w:t>вой базы, уровня собираемости с учетом прогнозов крупнейших налогоплательщиков и межрегиональных инспекций по крупнейшим налогоплательщикам, ставок по подакци</w:t>
      </w:r>
      <w:r w:rsidRPr="00462D80">
        <w:rPr>
          <w:sz w:val="24"/>
          <w:szCs w:val="24"/>
        </w:rPr>
        <w:t>з</w:t>
      </w:r>
      <w:r w:rsidRPr="00462D80">
        <w:rPr>
          <w:sz w:val="24"/>
          <w:szCs w:val="24"/>
        </w:rPr>
        <w:t>ным товарам</w:t>
      </w:r>
      <w:r>
        <w:rPr>
          <w:sz w:val="24"/>
          <w:szCs w:val="24"/>
        </w:rPr>
        <w:t>.</w:t>
      </w:r>
    </w:p>
    <w:p w:rsidR="008701B1" w:rsidRPr="00462D80" w:rsidRDefault="00462D80" w:rsidP="008701B1">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462D80">
        <w:rPr>
          <w:rFonts w:ascii="Times New Roman" w:eastAsia="Times New Roman" w:hAnsi="Times New Roman" w:cs="Times New Roman"/>
          <w:color w:val="000000"/>
          <w:sz w:val="24"/>
          <w:szCs w:val="24"/>
          <w:lang w:eastAsia="ru-RU"/>
        </w:rPr>
        <w:t xml:space="preserve">Дифференцированный норматив отчисления в бюджет муниципального </w:t>
      </w:r>
      <w:r w:rsidR="008701B1">
        <w:rPr>
          <w:rFonts w:ascii="Times New Roman" w:eastAsia="Times New Roman" w:hAnsi="Times New Roman" w:cs="Times New Roman"/>
          <w:color w:val="000000"/>
          <w:sz w:val="24"/>
          <w:szCs w:val="24"/>
          <w:lang w:eastAsia="ru-RU"/>
        </w:rPr>
        <w:t>образов</w:t>
      </w:r>
      <w:r w:rsidR="008701B1">
        <w:rPr>
          <w:rFonts w:ascii="Times New Roman" w:eastAsia="Times New Roman" w:hAnsi="Times New Roman" w:cs="Times New Roman"/>
          <w:color w:val="000000"/>
          <w:sz w:val="24"/>
          <w:szCs w:val="24"/>
          <w:lang w:eastAsia="ru-RU"/>
        </w:rPr>
        <w:t>а</w:t>
      </w:r>
      <w:r w:rsidR="008701B1">
        <w:rPr>
          <w:rFonts w:ascii="Times New Roman" w:eastAsia="Times New Roman" w:hAnsi="Times New Roman" w:cs="Times New Roman"/>
          <w:color w:val="000000"/>
          <w:sz w:val="24"/>
          <w:szCs w:val="24"/>
          <w:lang w:eastAsia="ru-RU"/>
        </w:rPr>
        <w:t>ния</w:t>
      </w:r>
      <w:r w:rsidRPr="00462D80">
        <w:rPr>
          <w:rFonts w:ascii="Times New Roman" w:eastAsia="Times New Roman" w:hAnsi="Times New Roman" w:cs="Times New Roman"/>
          <w:color w:val="000000"/>
          <w:sz w:val="24"/>
          <w:szCs w:val="24"/>
          <w:lang w:eastAsia="ru-RU"/>
        </w:rPr>
        <w:t xml:space="preserve"> на 2024</w:t>
      </w:r>
      <w:r w:rsidR="008701B1">
        <w:rPr>
          <w:rFonts w:ascii="Times New Roman" w:eastAsia="Times New Roman" w:hAnsi="Times New Roman" w:cs="Times New Roman"/>
          <w:color w:val="000000"/>
          <w:sz w:val="24"/>
          <w:szCs w:val="24"/>
          <w:lang w:eastAsia="ru-RU"/>
        </w:rPr>
        <w:t xml:space="preserve">и плановый период 2025 и </w:t>
      </w:r>
      <w:r w:rsidRPr="00462D80">
        <w:rPr>
          <w:rFonts w:ascii="Times New Roman" w:eastAsia="Times New Roman" w:hAnsi="Times New Roman" w:cs="Times New Roman"/>
          <w:color w:val="000000"/>
          <w:sz w:val="24"/>
          <w:szCs w:val="24"/>
          <w:lang w:eastAsia="ru-RU"/>
        </w:rPr>
        <w:t>2026 год</w:t>
      </w:r>
      <w:r w:rsidR="008701B1">
        <w:rPr>
          <w:rFonts w:ascii="Times New Roman" w:eastAsia="Times New Roman" w:hAnsi="Times New Roman" w:cs="Times New Roman"/>
          <w:color w:val="000000"/>
          <w:sz w:val="24"/>
          <w:szCs w:val="24"/>
          <w:lang w:eastAsia="ru-RU"/>
        </w:rPr>
        <w:t>ов установлен Законом Омской области  «Об областном бюджете на 2024 год и на плановый период 2025 и 2026 годов»</w:t>
      </w:r>
      <w:r w:rsidRPr="00462D80">
        <w:rPr>
          <w:rFonts w:ascii="Times New Roman" w:eastAsia="Times New Roman" w:hAnsi="Times New Roman" w:cs="Times New Roman"/>
          <w:color w:val="000000"/>
          <w:sz w:val="24"/>
          <w:szCs w:val="24"/>
          <w:lang w:eastAsia="ru-RU"/>
        </w:rPr>
        <w:t xml:space="preserve"> </w:t>
      </w:r>
      <w:r w:rsidR="008701B1">
        <w:rPr>
          <w:rFonts w:ascii="Times New Roman" w:eastAsia="Times New Roman" w:hAnsi="Times New Roman" w:cs="Times New Roman"/>
          <w:color w:val="000000"/>
          <w:sz w:val="24"/>
          <w:szCs w:val="24"/>
          <w:lang w:eastAsia="ru-RU"/>
        </w:rPr>
        <w:t xml:space="preserve"> в размере </w:t>
      </w:r>
      <w:r w:rsidRPr="00462D80">
        <w:rPr>
          <w:rFonts w:ascii="Times New Roman" w:eastAsia="Times New Roman" w:hAnsi="Times New Roman" w:cs="Times New Roman"/>
          <w:color w:val="000000"/>
          <w:sz w:val="24"/>
          <w:szCs w:val="24"/>
          <w:lang w:eastAsia="ru-RU"/>
        </w:rPr>
        <w:t xml:space="preserve">0,0542 </w:t>
      </w:r>
      <w:r w:rsidR="008701B1">
        <w:rPr>
          <w:rFonts w:ascii="Times New Roman" w:eastAsia="Times New Roman" w:hAnsi="Times New Roman" w:cs="Times New Roman"/>
          <w:color w:val="000000"/>
          <w:sz w:val="24"/>
          <w:szCs w:val="24"/>
          <w:lang w:eastAsia="ru-RU"/>
        </w:rPr>
        <w:t>%</w:t>
      </w:r>
      <w:r w:rsidRPr="00462D80">
        <w:rPr>
          <w:rFonts w:ascii="Times New Roman" w:eastAsia="Times New Roman" w:hAnsi="Times New Roman" w:cs="Times New Roman"/>
          <w:color w:val="000000"/>
          <w:sz w:val="24"/>
          <w:szCs w:val="24"/>
          <w:lang w:eastAsia="ru-RU"/>
        </w:rPr>
        <w:t>.</w:t>
      </w:r>
      <w:r w:rsidR="008701B1">
        <w:rPr>
          <w:rFonts w:ascii="Times New Roman" w:eastAsia="Times New Roman" w:hAnsi="Times New Roman" w:cs="Times New Roman"/>
          <w:color w:val="000000"/>
          <w:sz w:val="24"/>
          <w:szCs w:val="24"/>
          <w:lang w:eastAsia="ru-RU"/>
        </w:rPr>
        <w:t xml:space="preserve"> В 2024 году поступление налога планируется с ростом к первоначальной и </w:t>
      </w:r>
      <w:r w:rsidR="008701B1" w:rsidRPr="008701B1">
        <w:rPr>
          <w:rFonts w:ascii="Times New Roman" w:eastAsia="Times New Roman" w:hAnsi="Times New Roman" w:cs="Times New Roman"/>
          <w:color w:val="000000"/>
          <w:sz w:val="24"/>
          <w:szCs w:val="24"/>
          <w:lang w:eastAsia="ru-RU"/>
        </w:rPr>
        <w:t>уточненной редакции бюджета 2023 года на 11,05% или 355 449,00 рублей, на плановый период также определен рост поступлений в 2025 году на 2,31% в отношении к 2024 году или на 82 325,00 рублей, в 2026году  рост на 34,86% или 1 273,687 рублей к 2025 году.</w:t>
      </w:r>
    </w:p>
    <w:p w:rsidR="00B94783" w:rsidRPr="008701B1" w:rsidRDefault="00462D80" w:rsidP="00B94783">
      <w:pPr>
        <w:pStyle w:val="western"/>
        <w:spacing w:beforeAutospacing="0" w:after="0"/>
        <w:ind w:firstLine="709"/>
        <w:jc w:val="both"/>
        <w:rPr>
          <w:sz w:val="24"/>
          <w:szCs w:val="24"/>
        </w:rPr>
      </w:pPr>
      <w:r w:rsidRPr="00D560A4">
        <w:rPr>
          <w:b/>
          <w:sz w:val="24"/>
          <w:szCs w:val="24"/>
        </w:rPr>
        <w:t xml:space="preserve"> </w:t>
      </w:r>
      <w:r w:rsidR="008701B1" w:rsidRPr="00D560A4">
        <w:rPr>
          <w:b/>
          <w:sz w:val="24"/>
          <w:szCs w:val="24"/>
        </w:rPr>
        <w:t>Налоги на совокупный доход (Единый сельскохозяйственный налог</w:t>
      </w:r>
      <w:r w:rsidR="008701B1" w:rsidRPr="008701B1">
        <w:rPr>
          <w:sz w:val="24"/>
          <w:szCs w:val="24"/>
        </w:rPr>
        <w:t>)</w:t>
      </w:r>
      <w:r w:rsidR="00B94783">
        <w:rPr>
          <w:sz w:val="24"/>
          <w:szCs w:val="24"/>
        </w:rPr>
        <w:t>,</w:t>
      </w:r>
      <w:r w:rsidR="008701B1" w:rsidRPr="008701B1">
        <w:rPr>
          <w:sz w:val="24"/>
          <w:szCs w:val="24"/>
        </w:rPr>
        <w:t xml:space="preserve"> </w:t>
      </w:r>
      <w:r w:rsidR="00B94783">
        <w:rPr>
          <w:sz w:val="24"/>
          <w:szCs w:val="24"/>
        </w:rPr>
        <w:t>п</w:t>
      </w:r>
      <w:r w:rsidR="008701B1" w:rsidRPr="008701B1">
        <w:rPr>
          <w:sz w:val="24"/>
          <w:szCs w:val="24"/>
        </w:rPr>
        <w:t>рогноз налога производился с учетом ожидаемой прибыли крупных и средних организаций сел</w:t>
      </w:r>
      <w:r w:rsidR="008701B1" w:rsidRPr="008701B1">
        <w:rPr>
          <w:sz w:val="24"/>
          <w:szCs w:val="24"/>
        </w:rPr>
        <w:t>ь</w:t>
      </w:r>
      <w:r w:rsidR="008701B1" w:rsidRPr="008701B1">
        <w:rPr>
          <w:sz w:val="24"/>
          <w:szCs w:val="24"/>
        </w:rPr>
        <w:t>ского хозяйства.</w:t>
      </w:r>
      <w:r w:rsidR="00B94783">
        <w:rPr>
          <w:sz w:val="24"/>
          <w:szCs w:val="24"/>
        </w:rPr>
        <w:t xml:space="preserve"> В  структуре налоговых источников в 2024 году данный налог имеет д</w:t>
      </w:r>
      <w:r w:rsidR="00B94783">
        <w:rPr>
          <w:sz w:val="24"/>
          <w:szCs w:val="24"/>
        </w:rPr>
        <w:t>о</w:t>
      </w:r>
      <w:r w:rsidR="00B94783">
        <w:rPr>
          <w:sz w:val="24"/>
          <w:szCs w:val="24"/>
        </w:rPr>
        <w:t>лю 10,12% а в общей структуре доходов занимает 6,38%. Динамика поступлений на 2024 год запланирована с ростом к первоначальной редакции 2023 года на 65,13% или 943 128,00 рублей, а к уточненной редакции бюджета 2023 года с ростом на 3,13% или 72 565,29 рублей. В плановом периоде 2025 года также запланирована положительная д</w:t>
      </w:r>
      <w:r w:rsidR="00B94783">
        <w:rPr>
          <w:sz w:val="24"/>
          <w:szCs w:val="24"/>
        </w:rPr>
        <w:t>и</w:t>
      </w:r>
      <w:r w:rsidR="00B94783">
        <w:rPr>
          <w:sz w:val="24"/>
          <w:szCs w:val="24"/>
        </w:rPr>
        <w:t>намика поступлений на 2,5% к объему 2024 года и в 2026 году определен рост поступл</w:t>
      </w:r>
      <w:r w:rsidR="00B94783">
        <w:rPr>
          <w:sz w:val="24"/>
          <w:szCs w:val="24"/>
        </w:rPr>
        <w:t>е</w:t>
      </w:r>
      <w:r w:rsidR="00B94783">
        <w:rPr>
          <w:sz w:val="24"/>
          <w:szCs w:val="24"/>
        </w:rPr>
        <w:t>ний на 2,90% к 2025 году.</w:t>
      </w:r>
    </w:p>
    <w:p w:rsidR="00D560A4" w:rsidRDefault="00D560A4" w:rsidP="00D560A4">
      <w:pPr>
        <w:pStyle w:val="western"/>
        <w:spacing w:beforeAutospacing="0" w:after="0"/>
        <w:ind w:firstLine="709"/>
        <w:rPr>
          <w:sz w:val="24"/>
          <w:szCs w:val="24"/>
        </w:rPr>
      </w:pPr>
      <w:r w:rsidRPr="00D560A4">
        <w:rPr>
          <w:b/>
          <w:sz w:val="24"/>
          <w:szCs w:val="24"/>
        </w:rPr>
        <w:t>Налог на имущество</w:t>
      </w:r>
      <w:r>
        <w:rPr>
          <w:sz w:val="24"/>
          <w:szCs w:val="24"/>
        </w:rPr>
        <w:t>.</w:t>
      </w:r>
      <w:r w:rsidRPr="00D560A4">
        <w:rPr>
          <w:sz w:val="24"/>
          <w:szCs w:val="24"/>
        </w:rPr>
        <w:t xml:space="preserve"> </w:t>
      </w:r>
      <w:r>
        <w:rPr>
          <w:sz w:val="24"/>
          <w:szCs w:val="24"/>
        </w:rPr>
        <w:t>П</w:t>
      </w:r>
      <w:r w:rsidRPr="00D560A4">
        <w:rPr>
          <w:sz w:val="24"/>
          <w:szCs w:val="24"/>
        </w:rPr>
        <w:t>рогноз поступлений рассчитан исходя из динамики нал</w:t>
      </w:r>
      <w:r w:rsidRPr="00D560A4">
        <w:rPr>
          <w:sz w:val="24"/>
          <w:szCs w:val="24"/>
        </w:rPr>
        <w:t>о</w:t>
      </w:r>
      <w:r w:rsidRPr="00D560A4">
        <w:rPr>
          <w:sz w:val="24"/>
          <w:szCs w:val="24"/>
        </w:rPr>
        <w:t xml:space="preserve">говой базы согласно данным отчета о налоговой базе и структуре начислений по налогу на имущество, </w:t>
      </w:r>
      <w:r>
        <w:rPr>
          <w:sz w:val="24"/>
          <w:szCs w:val="24"/>
        </w:rPr>
        <w:t>ожидаемого исполнения в 2023 году. В 2024 году в структуре налоговых д</w:t>
      </w:r>
      <w:r>
        <w:rPr>
          <w:sz w:val="24"/>
          <w:szCs w:val="24"/>
        </w:rPr>
        <w:t>о</w:t>
      </w:r>
      <w:r>
        <w:rPr>
          <w:sz w:val="24"/>
          <w:szCs w:val="24"/>
        </w:rPr>
        <w:t>ходов данный налог занимает 9,47%, в общей структуре доходных источников 5,93%. На 2024 год планируется положительная динамика поступления с ростом к первоначальной и уточненной редакции бюджета 2023 года на 40,70% или 643 000,00 рублей, в плановом периоде 2025 и 2026 году поступление дохода запланировано на уровне 2024 года.</w:t>
      </w:r>
    </w:p>
    <w:p w:rsidR="00D560A4" w:rsidRDefault="00D560A4" w:rsidP="00D560A4">
      <w:pPr>
        <w:pStyle w:val="western"/>
        <w:spacing w:beforeAutospacing="0" w:after="0"/>
        <w:ind w:firstLine="709"/>
        <w:rPr>
          <w:sz w:val="24"/>
          <w:szCs w:val="24"/>
        </w:rPr>
      </w:pPr>
      <w:r w:rsidRPr="00376504">
        <w:rPr>
          <w:b/>
          <w:sz w:val="24"/>
          <w:szCs w:val="24"/>
        </w:rPr>
        <w:t>Неналоговые доходы</w:t>
      </w:r>
      <w:r>
        <w:rPr>
          <w:sz w:val="24"/>
          <w:szCs w:val="24"/>
        </w:rPr>
        <w:t xml:space="preserve"> на 2024 год запланированы в сумме 8 278 655,70 рублей, что превышает поступлений относительно первоначальной и уточненной редакции бюджета 2023 года   на 45,82% и 72,22% соответственно</w:t>
      </w:r>
      <w:r w:rsidR="00376504">
        <w:rPr>
          <w:sz w:val="24"/>
          <w:szCs w:val="24"/>
        </w:rPr>
        <w:t xml:space="preserve"> или на 2 601 155,70 рублей и 3 471 718,41 рублей соответственно</w:t>
      </w:r>
      <w:r>
        <w:rPr>
          <w:sz w:val="24"/>
          <w:szCs w:val="24"/>
        </w:rPr>
        <w:t xml:space="preserve">. В плановом периоде 2025 года </w:t>
      </w:r>
      <w:r w:rsidR="00376504">
        <w:rPr>
          <w:sz w:val="24"/>
          <w:szCs w:val="24"/>
        </w:rPr>
        <w:t>поступление неналоговых доходов запланировано проектом решения со снижением к уровню 2024 года на 54,81% или на 4 537 250,70 рублей, в 2026 году планируется рост поступлений к уровню 2025 года на 0,80% или на 30 000,00 рублей. Доля неналоговых доходов в структуре налоговых и нен</w:t>
      </w:r>
      <w:r w:rsidR="00376504">
        <w:rPr>
          <w:sz w:val="24"/>
          <w:szCs w:val="24"/>
        </w:rPr>
        <w:t>а</w:t>
      </w:r>
      <w:r w:rsidR="00376504">
        <w:rPr>
          <w:sz w:val="24"/>
          <w:szCs w:val="24"/>
        </w:rPr>
        <w:t>логовых доходов в 2024 году составляет 35,25%, в общей структуре доходных источников 12,07%.</w:t>
      </w:r>
    </w:p>
    <w:p w:rsidR="00376504" w:rsidRDefault="00376504" w:rsidP="00D560A4">
      <w:pPr>
        <w:pStyle w:val="western"/>
        <w:spacing w:beforeAutospacing="0" w:after="0"/>
        <w:ind w:firstLine="709"/>
        <w:rPr>
          <w:sz w:val="24"/>
          <w:szCs w:val="24"/>
        </w:rPr>
      </w:pPr>
      <w:r>
        <w:rPr>
          <w:sz w:val="24"/>
          <w:szCs w:val="24"/>
        </w:rPr>
        <w:t xml:space="preserve">Наибольший удельный вес  (в 2024 году 89,12%) в структуре неналоговых доходов имеет </w:t>
      </w:r>
      <w:r w:rsidRPr="00376504">
        <w:rPr>
          <w:b/>
          <w:sz w:val="24"/>
          <w:szCs w:val="24"/>
        </w:rPr>
        <w:t>доход от использования имущества, находящегося в государственной и мун</w:t>
      </w:r>
      <w:r w:rsidRPr="00376504">
        <w:rPr>
          <w:b/>
          <w:sz w:val="24"/>
          <w:szCs w:val="24"/>
        </w:rPr>
        <w:t>и</w:t>
      </w:r>
      <w:r w:rsidRPr="00376504">
        <w:rPr>
          <w:b/>
          <w:sz w:val="24"/>
          <w:szCs w:val="24"/>
        </w:rPr>
        <w:t>ципальной собственности</w:t>
      </w:r>
      <w:r>
        <w:rPr>
          <w:sz w:val="24"/>
          <w:szCs w:val="24"/>
        </w:rPr>
        <w:t>. В 2024  году данный налог планируется с ростом к первон</w:t>
      </w:r>
      <w:r>
        <w:rPr>
          <w:sz w:val="24"/>
          <w:szCs w:val="24"/>
        </w:rPr>
        <w:t>а</w:t>
      </w:r>
      <w:r>
        <w:rPr>
          <w:sz w:val="24"/>
          <w:szCs w:val="24"/>
        </w:rPr>
        <w:t>чальной и уточненной редакции бюджета 2023 года на 31,295 и 70,35% соответственно.</w:t>
      </w:r>
      <w:r w:rsidR="00B72FF5">
        <w:rPr>
          <w:sz w:val="24"/>
          <w:szCs w:val="24"/>
        </w:rPr>
        <w:t xml:space="preserve"> В плановом периоде 2025 году объем поступлений запланирован со снижением к 2024 году на </w:t>
      </w:r>
      <w:r w:rsidR="003811E2">
        <w:rPr>
          <w:sz w:val="24"/>
          <w:szCs w:val="24"/>
        </w:rPr>
        <w:t>61,49%, а в 2026 году определен объем поступлений с ростом к 2025 году на 1,06%.</w:t>
      </w:r>
    </w:p>
    <w:p w:rsidR="003811E2" w:rsidRDefault="003811E2" w:rsidP="00D560A4">
      <w:pPr>
        <w:pStyle w:val="western"/>
        <w:spacing w:beforeAutospacing="0" w:after="0"/>
        <w:ind w:firstLine="709"/>
        <w:rPr>
          <w:sz w:val="24"/>
          <w:szCs w:val="24"/>
        </w:rPr>
      </w:pPr>
      <w:r w:rsidRPr="000F39C0">
        <w:rPr>
          <w:b/>
          <w:sz w:val="24"/>
          <w:szCs w:val="24"/>
        </w:rPr>
        <w:t>Доходы от оказания платных услуг</w:t>
      </w:r>
      <w:r>
        <w:rPr>
          <w:sz w:val="24"/>
          <w:szCs w:val="24"/>
        </w:rPr>
        <w:t xml:space="preserve"> име</w:t>
      </w:r>
      <w:r w:rsidR="000F39C0">
        <w:rPr>
          <w:sz w:val="24"/>
          <w:szCs w:val="24"/>
        </w:rPr>
        <w:t>ю</w:t>
      </w:r>
      <w:r>
        <w:rPr>
          <w:sz w:val="24"/>
          <w:szCs w:val="24"/>
        </w:rPr>
        <w:t>т долю в структуре неналоговых дох</w:t>
      </w:r>
      <w:r>
        <w:rPr>
          <w:sz w:val="24"/>
          <w:szCs w:val="24"/>
        </w:rPr>
        <w:t>о</w:t>
      </w:r>
      <w:r>
        <w:rPr>
          <w:sz w:val="24"/>
          <w:szCs w:val="24"/>
        </w:rPr>
        <w:t xml:space="preserve">дов в 2024 году </w:t>
      </w:r>
      <w:r w:rsidR="00F711B4">
        <w:rPr>
          <w:sz w:val="24"/>
          <w:szCs w:val="24"/>
        </w:rPr>
        <w:t>9,66%</w:t>
      </w:r>
      <w:r>
        <w:rPr>
          <w:sz w:val="24"/>
          <w:szCs w:val="24"/>
        </w:rPr>
        <w:t xml:space="preserve">, в общей структуре </w:t>
      </w:r>
      <w:r w:rsidR="000F39C0">
        <w:rPr>
          <w:sz w:val="24"/>
          <w:szCs w:val="24"/>
        </w:rPr>
        <w:t>до</w:t>
      </w:r>
      <w:r>
        <w:rPr>
          <w:sz w:val="24"/>
          <w:szCs w:val="24"/>
        </w:rPr>
        <w:t xml:space="preserve">ходов </w:t>
      </w:r>
      <w:r w:rsidR="00F711B4">
        <w:rPr>
          <w:sz w:val="24"/>
          <w:szCs w:val="24"/>
        </w:rPr>
        <w:t>2,13%</w:t>
      </w:r>
      <w:r w:rsidR="000F39C0">
        <w:rPr>
          <w:sz w:val="24"/>
          <w:szCs w:val="24"/>
        </w:rPr>
        <w:t>.Поступление в 2024 году запл</w:t>
      </w:r>
      <w:r w:rsidR="000F39C0">
        <w:rPr>
          <w:sz w:val="24"/>
          <w:szCs w:val="24"/>
        </w:rPr>
        <w:t>а</w:t>
      </w:r>
      <w:r w:rsidR="000F39C0">
        <w:rPr>
          <w:sz w:val="24"/>
          <w:szCs w:val="24"/>
        </w:rPr>
        <w:t>нировано с ростом к уточненной редакции бюджета 2023 года в 2 раза, плановый период 2025 и 2026 годов запланирован на уровне поступлений 2024 года.</w:t>
      </w:r>
    </w:p>
    <w:p w:rsidR="000F39C0" w:rsidRDefault="000F39C0" w:rsidP="00D560A4">
      <w:pPr>
        <w:pStyle w:val="western"/>
        <w:spacing w:beforeAutospacing="0" w:after="0"/>
        <w:ind w:firstLine="709"/>
        <w:rPr>
          <w:sz w:val="24"/>
          <w:szCs w:val="24"/>
        </w:rPr>
      </w:pPr>
      <w:r>
        <w:rPr>
          <w:sz w:val="24"/>
          <w:szCs w:val="24"/>
        </w:rPr>
        <w:t>Доходы от продажи материальных и нематериальных активов запланированы на 2024 год в объеме 100 000,00 рублей, что превышает значения утвержденные первон</w:t>
      </w:r>
      <w:r>
        <w:rPr>
          <w:sz w:val="24"/>
          <w:szCs w:val="24"/>
        </w:rPr>
        <w:t>а</w:t>
      </w:r>
      <w:r>
        <w:rPr>
          <w:sz w:val="24"/>
          <w:szCs w:val="24"/>
        </w:rPr>
        <w:t xml:space="preserve">чальной редакцией бюджета 2023 года на 73,91% и ниже уточненной редакции бюджета </w:t>
      </w:r>
      <w:r>
        <w:rPr>
          <w:sz w:val="24"/>
          <w:szCs w:val="24"/>
        </w:rPr>
        <w:lastRenderedPageBreak/>
        <w:t>2023 года на 58,42%.Поступление дохода в плановые периоды 2025 и 2026 годов опред</w:t>
      </w:r>
      <w:r>
        <w:rPr>
          <w:sz w:val="24"/>
          <w:szCs w:val="24"/>
        </w:rPr>
        <w:t>е</w:t>
      </w:r>
      <w:r>
        <w:rPr>
          <w:sz w:val="24"/>
          <w:szCs w:val="24"/>
        </w:rPr>
        <w:t>лены  на уровне 2024 года.</w:t>
      </w:r>
    </w:p>
    <w:p w:rsidR="007039C9" w:rsidRDefault="003F6358" w:rsidP="00F406B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части </w:t>
      </w:r>
      <w:r w:rsidRPr="003D232A">
        <w:rPr>
          <w:rFonts w:ascii="Times New Roman" w:hAnsi="Times New Roman" w:cs="Times New Roman"/>
          <w:b/>
          <w:sz w:val="24"/>
          <w:szCs w:val="24"/>
        </w:rPr>
        <w:t>безвозмездных поступлений</w:t>
      </w:r>
      <w:r>
        <w:rPr>
          <w:rFonts w:ascii="Times New Roman" w:hAnsi="Times New Roman" w:cs="Times New Roman"/>
          <w:sz w:val="24"/>
          <w:szCs w:val="24"/>
        </w:rPr>
        <w:t xml:space="preserve"> в доходах бюджета учтена дотаци</w:t>
      </w:r>
      <w:r w:rsidR="000F39C0">
        <w:rPr>
          <w:rFonts w:ascii="Times New Roman" w:hAnsi="Times New Roman" w:cs="Times New Roman"/>
          <w:sz w:val="24"/>
          <w:szCs w:val="24"/>
        </w:rPr>
        <w:t>я</w:t>
      </w:r>
      <w:r>
        <w:rPr>
          <w:rFonts w:ascii="Times New Roman" w:hAnsi="Times New Roman" w:cs="Times New Roman"/>
          <w:sz w:val="24"/>
          <w:szCs w:val="24"/>
        </w:rPr>
        <w:t xml:space="preserve"> на выравнивание бюджетной обеспеченности поселений предоставляемой из районного бюджета. Объем поступлений на 202</w:t>
      </w:r>
      <w:r w:rsidR="000F39C0">
        <w:rPr>
          <w:rFonts w:ascii="Times New Roman" w:hAnsi="Times New Roman" w:cs="Times New Roman"/>
          <w:sz w:val="24"/>
          <w:szCs w:val="24"/>
        </w:rPr>
        <w:t>4</w:t>
      </w:r>
      <w:r>
        <w:rPr>
          <w:rFonts w:ascii="Times New Roman" w:hAnsi="Times New Roman" w:cs="Times New Roman"/>
          <w:sz w:val="24"/>
          <w:szCs w:val="24"/>
        </w:rPr>
        <w:t xml:space="preserve"> год планируется с ростом на </w:t>
      </w:r>
      <w:r w:rsidR="000F39C0">
        <w:rPr>
          <w:rFonts w:ascii="Times New Roman" w:hAnsi="Times New Roman" w:cs="Times New Roman"/>
          <w:sz w:val="24"/>
          <w:szCs w:val="24"/>
        </w:rPr>
        <w:t>11,93</w:t>
      </w:r>
      <w:r>
        <w:rPr>
          <w:rFonts w:ascii="Times New Roman" w:hAnsi="Times New Roman" w:cs="Times New Roman"/>
          <w:sz w:val="24"/>
          <w:szCs w:val="24"/>
        </w:rPr>
        <w:t>%  относительно  первоначально</w:t>
      </w:r>
      <w:r w:rsidR="000F39C0">
        <w:rPr>
          <w:rFonts w:ascii="Times New Roman" w:hAnsi="Times New Roman" w:cs="Times New Roman"/>
          <w:sz w:val="24"/>
          <w:szCs w:val="24"/>
        </w:rPr>
        <w:t>й и уточненной редакции</w:t>
      </w:r>
      <w:r>
        <w:rPr>
          <w:rFonts w:ascii="Times New Roman" w:hAnsi="Times New Roman" w:cs="Times New Roman"/>
          <w:sz w:val="24"/>
          <w:szCs w:val="24"/>
        </w:rPr>
        <w:t xml:space="preserve"> бюджета  202</w:t>
      </w:r>
      <w:r w:rsidR="000F39C0">
        <w:rPr>
          <w:rFonts w:ascii="Times New Roman" w:hAnsi="Times New Roman" w:cs="Times New Roman"/>
          <w:sz w:val="24"/>
          <w:szCs w:val="24"/>
        </w:rPr>
        <w:t>3</w:t>
      </w:r>
      <w:r>
        <w:rPr>
          <w:rFonts w:ascii="Times New Roman" w:hAnsi="Times New Roman" w:cs="Times New Roman"/>
          <w:sz w:val="24"/>
          <w:szCs w:val="24"/>
        </w:rPr>
        <w:t xml:space="preserve"> года</w:t>
      </w:r>
      <w:r w:rsidR="003D232A">
        <w:rPr>
          <w:rFonts w:ascii="Times New Roman" w:hAnsi="Times New Roman" w:cs="Times New Roman"/>
          <w:sz w:val="24"/>
          <w:szCs w:val="24"/>
        </w:rPr>
        <w:t xml:space="preserve"> или на 612 712,94 рублей.</w:t>
      </w:r>
      <w:r>
        <w:rPr>
          <w:rFonts w:ascii="Times New Roman" w:hAnsi="Times New Roman" w:cs="Times New Roman"/>
          <w:sz w:val="24"/>
          <w:szCs w:val="24"/>
        </w:rPr>
        <w:t xml:space="preserve"> </w:t>
      </w:r>
      <w:r w:rsidR="003D232A">
        <w:rPr>
          <w:rFonts w:ascii="Times New Roman" w:hAnsi="Times New Roman" w:cs="Times New Roman"/>
          <w:sz w:val="24"/>
          <w:szCs w:val="24"/>
        </w:rPr>
        <w:t>П</w:t>
      </w:r>
      <w:r>
        <w:rPr>
          <w:rFonts w:ascii="Times New Roman" w:hAnsi="Times New Roman" w:cs="Times New Roman"/>
          <w:sz w:val="24"/>
          <w:szCs w:val="24"/>
        </w:rPr>
        <w:t>лановый период 202</w:t>
      </w:r>
      <w:r w:rsidR="003D232A">
        <w:rPr>
          <w:rFonts w:ascii="Times New Roman" w:hAnsi="Times New Roman" w:cs="Times New Roman"/>
          <w:sz w:val="24"/>
          <w:szCs w:val="24"/>
        </w:rPr>
        <w:t>5</w:t>
      </w:r>
      <w:r>
        <w:rPr>
          <w:rFonts w:ascii="Times New Roman" w:hAnsi="Times New Roman" w:cs="Times New Roman"/>
          <w:sz w:val="24"/>
          <w:szCs w:val="24"/>
        </w:rPr>
        <w:t xml:space="preserve"> года спланирован с уменьшением поступлений на  </w:t>
      </w:r>
      <w:r w:rsidR="003D232A">
        <w:rPr>
          <w:rFonts w:ascii="Times New Roman" w:hAnsi="Times New Roman" w:cs="Times New Roman"/>
          <w:sz w:val="24"/>
          <w:szCs w:val="24"/>
        </w:rPr>
        <w:t>20,00</w:t>
      </w:r>
      <w:r>
        <w:rPr>
          <w:rFonts w:ascii="Times New Roman" w:hAnsi="Times New Roman" w:cs="Times New Roman"/>
          <w:sz w:val="24"/>
          <w:szCs w:val="24"/>
        </w:rPr>
        <w:t>%</w:t>
      </w:r>
      <w:r w:rsidR="003D232A">
        <w:rPr>
          <w:rFonts w:ascii="Times New Roman" w:hAnsi="Times New Roman" w:cs="Times New Roman"/>
          <w:sz w:val="24"/>
          <w:szCs w:val="24"/>
        </w:rPr>
        <w:t>, или на 1 149 639,66 рублей</w:t>
      </w:r>
      <w:r>
        <w:rPr>
          <w:rFonts w:ascii="Times New Roman" w:hAnsi="Times New Roman" w:cs="Times New Roman"/>
          <w:sz w:val="24"/>
          <w:szCs w:val="24"/>
        </w:rPr>
        <w:t xml:space="preserve"> к отношению 202</w:t>
      </w:r>
      <w:r w:rsidR="003D232A">
        <w:rPr>
          <w:rFonts w:ascii="Times New Roman" w:hAnsi="Times New Roman" w:cs="Times New Roman"/>
          <w:sz w:val="24"/>
          <w:szCs w:val="24"/>
        </w:rPr>
        <w:t>4</w:t>
      </w:r>
      <w:r>
        <w:rPr>
          <w:rFonts w:ascii="Times New Roman" w:hAnsi="Times New Roman" w:cs="Times New Roman"/>
          <w:sz w:val="24"/>
          <w:szCs w:val="24"/>
        </w:rPr>
        <w:t xml:space="preserve"> года и 202</w:t>
      </w:r>
      <w:r w:rsidR="003D232A">
        <w:rPr>
          <w:rFonts w:ascii="Times New Roman" w:hAnsi="Times New Roman" w:cs="Times New Roman"/>
          <w:sz w:val="24"/>
          <w:szCs w:val="24"/>
        </w:rPr>
        <w:t>6</w:t>
      </w:r>
      <w:r>
        <w:rPr>
          <w:rFonts w:ascii="Times New Roman" w:hAnsi="Times New Roman" w:cs="Times New Roman"/>
          <w:sz w:val="24"/>
          <w:szCs w:val="24"/>
        </w:rPr>
        <w:t xml:space="preserve"> год </w:t>
      </w:r>
      <w:r w:rsidR="003D232A">
        <w:rPr>
          <w:rFonts w:ascii="Times New Roman" w:hAnsi="Times New Roman" w:cs="Times New Roman"/>
          <w:sz w:val="24"/>
          <w:szCs w:val="24"/>
        </w:rPr>
        <w:t>спланирован на уровне 2025 года.</w:t>
      </w:r>
    </w:p>
    <w:p w:rsidR="007039C9" w:rsidRDefault="007039C9">
      <w:pPr>
        <w:widowControl w:val="0"/>
        <w:spacing w:after="0" w:line="240" w:lineRule="auto"/>
        <w:ind w:firstLine="709"/>
        <w:jc w:val="both"/>
        <w:rPr>
          <w:rFonts w:ascii="Times New Roman" w:hAnsi="Times New Roman" w:cs="Times New Roman"/>
          <w:sz w:val="24"/>
          <w:szCs w:val="24"/>
        </w:rPr>
      </w:pPr>
    </w:p>
    <w:p w:rsidR="007039C9" w:rsidRDefault="003F6358">
      <w:pPr>
        <w:spacing w:after="0" w:line="240" w:lineRule="auto"/>
        <w:ind w:firstLine="709"/>
        <w:jc w:val="center"/>
        <w:rPr>
          <w:rStyle w:val="FontStyle34"/>
          <w:b/>
          <w:sz w:val="24"/>
          <w:szCs w:val="24"/>
        </w:rPr>
      </w:pPr>
      <w:r>
        <w:rPr>
          <w:rStyle w:val="FontStyle34"/>
          <w:b/>
          <w:sz w:val="24"/>
          <w:szCs w:val="24"/>
        </w:rPr>
        <w:t>3.2. Расходы бюджета</w:t>
      </w:r>
    </w:p>
    <w:p w:rsidR="00D61F28" w:rsidRDefault="00D61F28" w:rsidP="00D61F28">
      <w:pPr>
        <w:pStyle w:val="af1"/>
        <w:ind w:firstLine="709"/>
        <w:jc w:val="both"/>
        <w:rPr>
          <w:sz w:val="24"/>
        </w:rPr>
      </w:pPr>
      <w:r>
        <w:rPr>
          <w:sz w:val="24"/>
        </w:rPr>
        <w:t xml:space="preserve">Проект бюджета муниципального образования на 2024 год и на плановый период 2025 и 2026 годов сформирован по программно – целевому принципу на основе муниципальных программ. Программная структура расходов бюджета представлена тремя муниципальными программами. Общий объем расходов на реализацию муниципальных программ на 2024 год составил 37 510 338,70 рублей, на 2025 год – 32 027 960,34 рублей, на 2026 год – 33 356 668,34 рублей (без условно утверждаемых расходов). Удельный вес расходов предусмотренных по программно – целевому принципу в общем объеме расходов бюджета составляет ежегодно 100,00% общего объема расходов местного бюджета, без учета условно утверждаемых расходов.   В соответствии со статьей 184.2. БК, Положением о бюджетном процессе в Полтавском городском поселении </w:t>
      </w:r>
      <w:bookmarkStart w:id="6" w:name="OLE_LINK12"/>
      <w:bookmarkStart w:id="7" w:name="OLE_LINK11"/>
      <w:r>
        <w:rPr>
          <w:sz w:val="24"/>
        </w:rPr>
        <w:t>одновременно с проектом бюджета представлены проекты изменений в паспорта муниципальных программ</w:t>
      </w:r>
      <w:bookmarkEnd w:id="6"/>
      <w:bookmarkEnd w:id="7"/>
      <w:r>
        <w:rPr>
          <w:sz w:val="24"/>
        </w:rPr>
        <w:t>.</w:t>
      </w:r>
    </w:p>
    <w:p w:rsidR="007039C9" w:rsidRDefault="003F6358">
      <w:pPr>
        <w:widowControl w:val="0"/>
        <w:spacing w:after="0" w:line="240" w:lineRule="auto"/>
        <w:ind w:firstLine="709"/>
        <w:jc w:val="both"/>
        <w:outlineLvl w:val="0"/>
        <w:rPr>
          <w:rFonts w:ascii="Times New Roman" w:hAnsi="Times New Roman" w:cs="Times New Roman"/>
          <w:bCs/>
          <w:sz w:val="24"/>
          <w:szCs w:val="24"/>
        </w:rPr>
      </w:pPr>
      <w:r>
        <w:rPr>
          <w:rFonts w:ascii="Times New Roman" w:hAnsi="Times New Roman" w:cs="Times New Roman"/>
          <w:sz w:val="24"/>
          <w:szCs w:val="24"/>
        </w:rPr>
        <w:t xml:space="preserve">Расходная часть бюджета сформирована в соответствии с законодательно обусловленными расходными обязательствами, исполнение которых должно производиться в очередном финансовом году и плановом периоде за счет бюджетных средств. </w:t>
      </w:r>
      <w:r>
        <w:rPr>
          <w:rFonts w:ascii="Times New Roman" w:hAnsi="Times New Roman" w:cs="Times New Roman"/>
          <w:bCs/>
          <w:sz w:val="24"/>
          <w:szCs w:val="24"/>
        </w:rPr>
        <w:t>Расчет планируемых ассигнований  учитывает уровень инфляции текущего года и прогнозируемого на 202</w:t>
      </w:r>
      <w:r w:rsidR="00D61F28">
        <w:rPr>
          <w:rFonts w:ascii="Times New Roman" w:hAnsi="Times New Roman" w:cs="Times New Roman"/>
          <w:bCs/>
          <w:sz w:val="24"/>
          <w:szCs w:val="24"/>
        </w:rPr>
        <w:t>4</w:t>
      </w:r>
      <w:r>
        <w:rPr>
          <w:rFonts w:ascii="Times New Roman" w:hAnsi="Times New Roman" w:cs="Times New Roman"/>
          <w:bCs/>
          <w:sz w:val="24"/>
          <w:szCs w:val="24"/>
        </w:rPr>
        <w:t xml:space="preserve"> год, планируемую индексацию социальных выплат.</w:t>
      </w:r>
      <w:bookmarkStart w:id="8" w:name="OLE_LINK23"/>
      <w:bookmarkStart w:id="9" w:name="OLE_LINK24"/>
      <w:bookmarkEnd w:id="8"/>
      <w:bookmarkEnd w:id="9"/>
    </w:p>
    <w:p w:rsidR="00B60F80" w:rsidRDefault="00B60F80" w:rsidP="00B60F80">
      <w:pPr>
        <w:pStyle w:val="ConsNonformat"/>
        <w:ind w:firstLine="720"/>
        <w:jc w:val="both"/>
        <w:rPr>
          <w:rFonts w:ascii="Times New Roman" w:hAnsi="Times New Roman"/>
          <w:sz w:val="24"/>
          <w:szCs w:val="24"/>
        </w:rPr>
      </w:pPr>
      <w:r>
        <w:rPr>
          <w:rFonts w:ascii="Times New Roman" w:hAnsi="Times New Roman"/>
          <w:sz w:val="24"/>
          <w:szCs w:val="24"/>
        </w:rPr>
        <w:t xml:space="preserve">В соответствии со статьей 79 Бюджетного кодекса проектом бюджета запланирована  адресная инвестиционная программа на 2024 год. Бюджетные ассигнования предусмотрены </w:t>
      </w:r>
      <w:r w:rsidRPr="00B60F80">
        <w:rPr>
          <w:rFonts w:ascii="Times New Roman" w:hAnsi="Times New Roman"/>
          <w:sz w:val="24"/>
          <w:szCs w:val="24"/>
        </w:rPr>
        <w:t>м</w:t>
      </w:r>
      <w:r w:rsidRPr="00B60F80">
        <w:rPr>
          <w:rFonts w:ascii="Times New Roman" w:hAnsi="Times New Roman"/>
          <w:color w:val="000000"/>
          <w:sz w:val="24"/>
          <w:szCs w:val="24"/>
        </w:rPr>
        <w:t>униципальной программой Полтавского городского поселения «Социально-экономическое развитие Полтавского городского поселения»</w:t>
      </w:r>
      <w:r>
        <w:rPr>
          <w:rFonts w:ascii="Times New Roman" w:hAnsi="Times New Roman"/>
          <w:sz w:val="24"/>
          <w:szCs w:val="24"/>
        </w:rPr>
        <w:t xml:space="preserve"> на приобретение маневренного жилого фонда в сумме 1 875 000,00 рублей, средства запланированы из местного бюджета. </w:t>
      </w:r>
    </w:p>
    <w:p w:rsidR="00F27289" w:rsidRDefault="00F27289" w:rsidP="00F27289">
      <w:pPr>
        <w:pStyle w:val="af1"/>
        <w:ind w:firstLine="709"/>
        <w:jc w:val="both"/>
        <w:rPr>
          <w:rFonts w:eastAsia="Calibri"/>
          <w:sz w:val="24"/>
          <w:lang w:eastAsia="en-US"/>
        </w:rPr>
      </w:pPr>
      <w:r>
        <w:rPr>
          <w:rFonts w:eastAsia="Calibri"/>
          <w:sz w:val="24"/>
          <w:lang w:eastAsia="en-US"/>
        </w:rPr>
        <w:t>Анализ распределения  бюджетных ассигнований из бюджета муниципального образования по разделам, подразделам бюджетной классификации  на 2024 год и плановый период 2025 и  2026 годов приведен в таблице</w:t>
      </w:r>
    </w:p>
    <w:tbl>
      <w:tblPr>
        <w:tblStyle w:val="af3"/>
        <w:tblW w:w="0" w:type="auto"/>
        <w:tblLayout w:type="fixed"/>
        <w:tblLook w:val="04A0"/>
      </w:tblPr>
      <w:tblGrid>
        <w:gridCol w:w="1101"/>
        <w:gridCol w:w="992"/>
        <w:gridCol w:w="850"/>
        <w:gridCol w:w="851"/>
        <w:gridCol w:w="567"/>
        <w:gridCol w:w="567"/>
        <w:gridCol w:w="567"/>
        <w:gridCol w:w="992"/>
        <w:gridCol w:w="567"/>
        <w:gridCol w:w="567"/>
        <w:gridCol w:w="851"/>
        <w:gridCol w:w="567"/>
        <w:gridCol w:w="532"/>
      </w:tblGrid>
      <w:tr w:rsidR="009264AB" w:rsidTr="004C5DA2">
        <w:tc>
          <w:tcPr>
            <w:tcW w:w="1101" w:type="dxa"/>
            <w:vMerge w:val="restart"/>
            <w:tcBorders>
              <w:top w:val="single" w:sz="4" w:space="0" w:color="auto"/>
              <w:left w:val="single" w:sz="4" w:space="0" w:color="auto"/>
              <w:bottom w:val="single" w:sz="4" w:space="0" w:color="auto"/>
              <w:right w:val="single" w:sz="4" w:space="0" w:color="auto"/>
            </w:tcBorders>
            <w:hideMark/>
          </w:tcPr>
          <w:p w:rsidR="009264AB" w:rsidRPr="00612F9E" w:rsidRDefault="009264AB" w:rsidP="004C5DA2">
            <w:pPr>
              <w:pStyle w:val="Default"/>
              <w:jc w:val="center"/>
              <w:rPr>
                <w:sz w:val="16"/>
                <w:szCs w:val="16"/>
                <w:vertAlign w:val="superscript"/>
              </w:rPr>
            </w:pPr>
            <w:r w:rsidRPr="00612F9E">
              <w:rPr>
                <w:sz w:val="16"/>
                <w:szCs w:val="16"/>
                <w:vertAlign w:val="superscript"/>
              </w:rPr>
              <w:t>наименование показателей</w:t>
            </w:r>
          </w:p>
        </w:tc>
        <w:tc>
          <w:tcPr>
            <w:tcW w:w="1842" w:type="dxa"/>
            <w:gridSpan w:val="2"/>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Утверждено на 2023 год</w:t>
            </w:r>
          </w:p>
        </w:tc>
        <w:tc>
          <w:tcPr>
            <w:tcW w:w="6628" w:type="dxa"/>
            <w:gridSpan w:val="10"/>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Предусмотрено проектом решения</w:t>
            </w:r>
          </w:p>
        </w:tc>
      </w:tr>
      <w:tr w:rsidR="009264AB" w:rsidTr="004C5DA2">
        <w:tc>
          <w:tcPr>
            <w:tcW w:w="1101" w:type="dxa"/>
            <w:vMerge/>
            <w:tcBorders>
              <w:top w:val="single" w:sz="4" w:space="0" w:color="auto"/>
              <w:left w:val="single" w:sz="4" w:space="0" w:color="auto"/>
              <w:bottom w:val="single" w:sz="4" w:space="0" w:color="auto"/>
              <w:right w:val="single" w:sz="4" w:space="0" w:color="auto"/>
            </w:tcBorders>
            <w:vAlign w:val="center"/>
            <w:hideMark/>
          </w:tcPr>
          <w:p w:rsidR="009264AB" w:rsidRPr="00612F9E" w:rsidRDefault="009264AB" w:rsidP="004C5DA2">
            <w:pPr>
              <w:suppressAutoHyphens w:val="0"/>
              <w:spacing w:after="0" w:line="240" w:lineRule="auto"/>
              <w:rPr>
                <w:rFonts w:ascii="Times New Roman" w:eastAsia="Times New Roman" w:hAnsi="Times New Roman" w:cs="Times New Roman"/>
                <w:color w:val="000000"/>
                <w:sz w:val="16"/>
                <w:szCs w:val="16"/>
                <w:vertAlign w:val="superscript"/>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первоначальная редакция, рублей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с учетом изменений (ред. от 21.09.2023г) рублей</w:t>
            </w:r>
          </w:p>
          <w:p w:rsidR="009264AB" w:rsidRDefault="009264AB" w:rsidP="004C5DA2">
            <w:pPr>
              <w:pStyle w:val="Default"/>
              <w:jc w:val="center"/>
              <w:rPr>
                <w:sz w:val="16"/>
                <w:szCs w:val="16"/>
                <w:vertAlign w:val="superscript"/>
              </w:rPr>
            </w:pPr>
          </w:p>
          <w:p w:rsidR="009264AB" w:rsidRDefault="009264AB" w:rsidP="004C5DA2">
            <w:pPr>
              <w:pStyle w:val="Default"/>
              <w:jc w:val="center"/>
              <w:rPr>
                <w:sz w:val="16"/>
                <w:szCs w:val="16"/>
                <w:vertAlign w:val="superscript"/>
              </w:rPr>
            </w:pPr>
          </w:p>
          <w:p w:rsidR="009264AB" w:rsidRDefault="009264AB" w:rsidP="004C5DA2">
            <w:pPr>
              <w:pStyle w:val="Default"/>
              <w:jc w:val="center"/>
              <w:rPr>
                <w:sz w:val="16"/>
                <w:szCs w:val="16"/>
                <w:vertAlign w:val="superscript"/>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на 2024 год</w:t>
            </w:r>
          </w:p>
        </w:tc>
        <w:tc>
          <w:tcPr>
            <w:tcW w:w="2126" w:type="dxa"/>
            <w:gridSpan w:val="3"/>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на 2025 год</w:t>
            </w:r>
          </w:p>
        </w:tc>
        <w:tc>
          <w:tcPr>
            <w:tcW w:w="1950" w:type="dxa"/>
            <w:gridSpan w:val="3"/>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на 2026 год</w:t>
            </w:r>
          </w:p>
        </w:tc>
      </w:tr>
      <w:tr w:rsidR="009264AB" w:rsidTr="004C5DA2">
        <w:trPr>
          <w:trHeight w:val="74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264AB" w:rsidRPr="00612F9E" w:rsidRDefault="009264AB" w:rsidP="004C5DA2">
            <w:pPr>
              <w:suppressAutoHyphens w:val="0"/>
              <w:spacing w:after="0" w:line="240" w:lineRule="auto"/>
              <w:rPr>
                <w:rFonts w:ascii="Times New Roman" w:eastAsia="Times New Roman" w:hAnsi="Times New Roman" w:cs="Times New Roman"/>
                <w:color w:val="000000"/>
                <w:sz w:val="16"/>
                <w:szCs w:val="16"/>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64AB" w:rsidRDefault="009264AB" w:rsidP="004C5DA2">
            <w:pPr>
              <w:suppressAutoHyphens w:val="0"/>
              <w:spacing w:after="0" w:line="240" w:lineRule="auto"/>
              <w:rPr>
                <w:rFonts w:ascii="Times New Roman" w:eastAsia="Times New Roman" w:hAnsi="Times New Roman" w:cs="Times New Roman"/>
                <w:color w:val="000000"/>
                <w:sz w:val="16"/>
                <w:szCs w:val="16"/>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264AB" w:rsidRDefault="009264AB" w:rsidP="004C5DA2">
            <w:pPr>
              <w:suppressAutoHyphens w:val="0"/>
              <w:spacing w:after="0" w:line="240" w:lineRule="auto"/>
              <w:rPr>
                <w:rFonts w:ascii="Times New Roman" w:eastAsia="Times New Roman" w:hAnsi="Times New Roman" w:cs="Times New Roman"/>
                <w:color w:val="000000"/>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рублей</w:t>
            </w:r>
          </w:p>
        </w:tc>
        <w:tc>
          <w:tcPr>
            <w:tcW w:w="567"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отношение к 2023 году, % к первоначальной редакции</w:t>
            </w:r>
          </w:p>
        </w:tc>
        <w:tc>
          <w:tcPr>
            <w:tcW w:w="567"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отношение к 2023 году, %с учетом изменений</w:t>
            </w:r>
          </w:p>
        </w:tc>
        <w:tc>
          <w:tcPr>
            <w:tcW w:w="567"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удельный вес, %</w:t>
            </w:r>
          </w:p>
        </w:tc>
        <w:tc>
          <w:tcPr>
            <w:tcW w:w="992"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рублей</w:t>
            </w:r>
          </w:p>
        </w:tc>
        <w:tc>
          <w:tcPr>
            <w:tcW w:w="567"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отношение к 2024 году, %</w:t>
            </w:r>
          </w:p>
        </w:tc>
        <w:tc>
          <w:tcPr>
            <w:tcW w:w="567"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удельный вес, %</w:t>
            </w:r>
          </w:p>
        </w:tc>
        <w:tc>
          <w:tcPr>
            <w:tcW w:w="851"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рублей</w:t>
            </w:r>
          </w:p>
        </w:tc>
        <w:tc>
          <w:tcPr>
            <w:tcW w:w="567"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отношение к 2025 году, %</w:t>
            </w:r>
          </w:p>
        </w:tc>
        <w:tc>
          <w:tcPr>
            <w:tcW w:w="532" w:type="dxa"/>
            <w:tcBorders>
              <w:top w:val="single" w:sz="4" w:space="0" w:color="auto"/>
              <w:left w:val="single" w:sz="4" w:space="0" w:color="auto"/>
              <w:bottom w:val="single" w:sz="4" w:space="0" w:color="auto"/>
              <w:right w:val="single" w:sz="4" w:space="0" w:color="auto"/>
            </w:tcBorders>
            <w:hideMark/>
          </w:tcPr>
          <w:p w:rsidR="009264AB" w:rsidRDefault="009264AB" w:rsidP="004C5DA2">
            <w:pPr>
              <w:pStyle w:val="Default"/>
              <w:jc w:val="center"/>
              <w:rPr>
                <w:sz w:val="16"/>
                <w:szCs w:val="16"/>
                <w:vertAlign w:val="superscript"/>
              </w:rPr>
            </w:pPr>
            <w:r>
              <w:rPr>
                <w:sz w:val="16"/>
                <w:szCs w:val="16"/>
                <w:vertAlign w:val="superscript"/>
              </w:rPr>
              <w:t>удельный вес, %</w:t>
            </w:r>
          </w:p>
        </w:tc>
      </w:tr>
      <w:tr w:rsidR="009264AB" w:rsidTr="004C5DA2">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C5DA2" w:rsidRDefault="009264AB" w:rsidP="00DC507E">
            <w:pPr>
              <w:spacing w:after="0" w:line="240" w:lineRule="auto"/>
              <w:jc w:val="center"/>
              <w:rPr>
                <w:rFonts w:ascii="Times New Roman" w:hAnsi="Times New Roman" w:cs="Times New Roman"/>
                <w:sz w:val="20"/>
                <w:vertAlign w:val="superscript"/>
              </w:rPr>
            </w:pPr>
            <w:r w:rsidRPr="00DC507E">
              <w:rPr>
                <w:rFonts w:ascii="Times New Roman" w:hAnsi="Times New Roman" w:cs="Times New Roman"/>
                <w:sz w:val="20"/>
                <w:vertAlign w:val="superscript"/>
              </w:rPr>
              <w:t xml:space="preserve">01.00.Общегосударственные расходы, </w:t>
            </w:r>
          </w:p>
          <w:p w:rsidR="009264AB" w:rsidRPr="00DC507E" w:rsidRDefault="009264AB" w:rsidP="00DC507E">
            <w:pPr>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hAnsi="Times New Roman" w:cs="Times New Roman"/>
                <w:sz w:val="16"/>
                <w:szCs w:val="16"/>
                <w:vertAlign w:val="superscript"/>
              </w:rPr>
              <w:t>в том числе: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4C5DA2">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19 113 825,90</w:t>
            </w:r>
          </w:p>
          <w:p w:rsidR="009264AB" w:rsidRPr="00DC507E" w:rsidRDefault="009264AB" w:rsidP="004C5DA2">
            <w:pPr>
              <w:suppressAutoHyphens w:val="0"/>
              <w:spacing w:after="0" w:line="240" w:lineRule="auto"/>
              <w:jc w:val="center"/>
              <w:rPr>
                <w:rFonts w:ascii="Times New Roman" w:eastAsia="Times New Roman" w:hAnsi="Times New Roman" w:cs="Times New Roman"/>
                <w:color w:val="000000"/>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4C5DA2">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18 752 743,06</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4C5DA2">
            <w:pPr>
              <w:pStyle w:val="Default"/>
              <w:jc w:val="center"/>
              <w:rPr>
                <w:sz w:val="16"/>
                <w:szCs w:val="16"/>
                <w:vertAlign w:val="superscript"/>
              </w:rPr>
            </w:pPr>
            <w:r w:rsidRPr="00DC507E">
              <w:rPr>
                <w:sz w:val="16"/>
                <w:szCs w:val="16"/>
                <w:vertAlign w:val="superscript"/>
              </w:rPr>
              <w:t>22 000 996,05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4C5DA2">
            <w:pPr>
              <w:pStyle w:val="Default"/>
              <w:jc w:val="center"/>
              <w:rPr>
                <w:sz w:val="16"/>
                <w:szCs w:val="16"/>
                <w:vertAlign w:val="superscript"/>
              </w:rPr>
            </w:pPr>
            <w:r>
              <w:rPr>
                <w:sz w:val="16"/>
                <w:szCs w:val="16"/>
                <w:vertAlign w:val="superscript"/>
              </w:rPr>
              <w:t>115,12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4C5DA2">
            <w:pPr>
              <w:pStyle w:val="Default"/>
              <w:jc w:val="center"/>
              <w:rPr>
                <w:sz w:val="16"/>
                <w:szCs w:val="16"/>
                <w:vertAlign w:val="superscript"/>
              </w:rPr>
            </w:pPr>
            <w:r>
              <w:rPr>
                <w:sz w:val="16"/>
                <w:szCs w:val="16"/>
                <w:vertAlign w:val="superscript"/>
              </w:rPr>
              <w:t>117,32</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4C5DA2">
            <w:pPr>
              <w:pStyle w:val="Default"/>
              <w:jc w:val="center"/>
              <w:rPr>
                <w:sz w:val="16"/>
                <w:szCs w:val="16"/>
                <w:vertAlign w:val="superscript"/>
              </w:rPr>
            </w:pPr>
            <w:r>
              <w:rPr>
                <w:sz w:val="16"/>
                <w:szCs w:val="16"/>
                <w:vertAlign w:val="superscript"/>
              </w:rPr>
              <w:t>58,6</w:t>
            </w:r>
            <w:r w:rsidR="003F3B57">
              <w:rPr>
                <w:sz w:val="16"/>
                <w:szCs w:val="16"/>
                <w:vertAlign w:val="superscript"/>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4C5DA2">
            <w:pPr>
              <w:pStyle w:val="Default"/>
              <w:jc w:val="center"/>
              <w:rPr>
                <w:sz w:val="16"/>
                <w:szCs w:val="16"/>
                <w:vertAlign w:val="superscript"/>
              </w:rPr>
            </w:pPr>
            <w:r w:rsidRPr="00DC507E">
              <w:rPr>
                <w:sz w:val="16"/>
                <w:szCs w:val="16"/>
                <w:vertAlign w:val="superscript"/>
              </w:rPr>
              <w:t>22 024 716,05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4C5DA2">
            <w:pPr>
              <w:pStyle w:val="Default"/>
              <w:jc w:val="center"/>
              <w:rPr>
                <w:sz w:val="16"/>
                <w:szCs w:val="16"/>
                <w:vertAlign w:val="superscript"/>
              </w:rPr>
            </w:pPr>
            <w:r>
              <w:rPr>
                <w:sz w:val="16"/>
                <w:szCs w:val="16"/>
                <w:vertAlign w:val="superscript"/>
              </w:rPr>
              <w:t>100,11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4C5DA2">
            <w:pPr>
              <w:pStyle w:val="Default"/>
              <w:jc w:val="center"/>
              <w:rPr>
                <w:sz w:val="16"/>
                <w:szCs w:val="16"/>
                <w:vertAlign w:val="superscript"/>
              </w:rPr>
            </w:pPr>
            <w:r>
              <w:rPr>
                <w:sz w:val="16"/>
                <w:szCs w:val="16"/>
                <w:vertAlign w:val="superscript"/>
              </w:rPr>
              <w:t>68,77</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4C5DA2">
            <w:pPr>
              <w:pStyle w:val="Default"/>
              <w:jc w:val="center"/>
              <w:rPr>
                <w:sz w:val="16"/>
                <w:szCs w:val="16"/>
                <w:vertAlign w:val="superscript"/>
              </w:rPr>
            </w:pPr>
            <w:r w:rsidRPr="00DC507E">
              <w:rPr>
                <w:sz w:val="16"/>
                <w:szCs w:val="16"/>
                <w:vertAlign w:val="superscript"/>
              </w:rPr>
              <w:t>22 037 986,05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4C5DA2">
            <w:pPr>
              <w:pStyle w:val="Default"/>
              <w:jc w:val="center"/>
              <w:rPr>
                <w:sz w:val="16"/>
                <w:szCs w:val="16"/>
                <w:vertAlign w:val="superscript"/>
              </w:rPr>
            </w:pPr>
            <w:r>
              <w:rPr>
                <w:sz w:val="16"/>
                <w:szCs w:val="16"/>
                <w:vertAlign w:val="superscript"/>
              </w:rPr>
              <w:t>100,06</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4C5DA2">
            <w:pPr>
              <w:pStyle w:val="Default"/>
              <w:jc w:val="center"/>
              <w:rPr>
                <w:sz w:val="16"/>
                <w:szCs w:val="16"/>
                <w:vertAlign w:val="superscript"/>
              </w:rPr>
            </w:pPr>
            <w:r>
              <w:rPr>
                <w:sz w:val="16"/>
                <w:szCs w:val="16"/>
                <w:vertAlign w:val="superscript"/>
              </w:rPr>
              <w:t>66,07</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20"/>
                <w:vertAlign w:val="superscript"/>
              </w:rPr>
            </w:pPr>
            <w:r w:rsidRPr="00DC507E">
              <w:rPr>
                <w:rFonts w:ascii="Times New Roman" w:hAnsi="Times New Roman" w:cs="Times New Roman"/>
                <w:sz w:val="16"/>
                <w:szCs w:val="16"/>
                <w:vertAlign w:val="superscript"/>
              </w:rPr>
              <w:t>01.02.Функционирование высшего должностного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1 531 365,46</w:t>
            </w:r>
          </w:p>
          <w:p w:rsidR="009264AB" w:rsidRPr="00DC507E" w:rsidRDefault="009264AB"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1 971 365,46</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2 408 878,41</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157,30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122,19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6,42</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2 408 878,41</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2 408 878,41</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7,22</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 xml:space="preserve">01.03.Функционирование законодательных (представительных </w:t>
            </w:r>
            <w:r w:rsidRPr="00DC507E">
              <w:rPr>
                <w:rFonts w:ascii="Times New Roman" w:hAnsi="Times New Roman" w:cs="Times New Roman"/>
                <w:sz w:val="16"/>
                <w:szCs w:val="16"/>
                <w:vertAlign w:val="superscript"/>
              </w:rPr>
              <w:lastRenderedPageBreak/>
              <w:t>органов) муниципальных образований</w:t>
            </w:r>
          </w:p>
          <w:p w:rsidR="009264AB" w:rsidRPr="00DC507E" w:rsidRDefault="009264AB"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hAnsi="Times New Roman" w:cs="Times New Roman"/>
                <w:sz w:val="16"/>
                <w:szCs w:val="16"/>
                <w:vertAlign w:val="superscript"/>
              </w:rPr>
              <w:lastRenderedPageBreak/>
              <w:t>22 000,00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22 000,00</w:t>
            </w:r>
          </w:p>
          <w:p w:rsidR="00B076D5"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25 000,00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113,64</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113,64</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25 000,00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0,08</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25 000,00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0,07</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lastRenderedPageBreak/>
              <w:t>01.04.Функционирование высших исполнительных органов местных администраций</w:t>
            </w:r>
          </w:p>
          <w:p w:rsidR="009264AB" w:rsidRPr="00DC507E" w:rsidRDefault="009264AB"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4 164 834,54</w:t>
            </w:r>
          </w:p>
          <w:p w:rsidR="009264AB" w:rsidRPr="00DC507E" w:rsidRDefault="009264AB"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3 725 834,54</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4 435 621,59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106,50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119,05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11,83</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4 435 621,59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13,85</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4 435 621,59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13,30</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01.11.Резервные фонды</w:t>
            </w:r>
          </w:p>
          <w:p w:rsidR="009264AB" w:rsidRPr="00DC507E" w:rsidRDefault="009264AB"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40 000,00</w:t>
            </w:r>
          </w:p>
          <w:p w:rsidR="009264AB" w:rsidRPr="00DC507E" w:rsidRDefault="009264AB"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44 100,00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105,00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0,13</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01.13.Другие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hAnsi="Times New Roman" w:cs="Times New Roman"/>
                <w:sz w:val="16"/>
                <w:szCs w:val="16"/>
                <w:vertAlign w:val="superscript"/>
              </w:rPr>
              <w:t>13 355 625,90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13 033 543,06</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15 091 496,05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115,79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40,23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15 113 216,05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47,19</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15 124 386,05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100,07</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45,34</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20"/>
                <w:vertAlign w:val="superscript"/>
              </w:rPr>
              <w:t>02.00. Национальная оборона</w:t>
            </w:r>
          </w:p>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 xml:space="preserve">В том </w:t>
            </w:r>
            <w:r w:rsidRPr="00DC507E">
              <w:rPr>
                <w:rFonts w:ascii="Times New Roman" w:hAnsi="Times New Roman" w:cs="Times New Roman"/>
                <w:sz w:val="16"/>
                <w:szCs w:val="16"/>
                <w:vertAlign w:val="superscript"/>
              </w:rPr>
              <w:t>числе:</w:t>
            </w:r>
          </w:p>
          <w:p w:rsidR="009264AB" w:rsidRPr="00DC507E" w:rsidRDefault="009264AB"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731 158,00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731 158,00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02.03.мобилизационная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731 158,00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731 158,00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bookmarkStart w:id="10" w:name="OLE_LINK43"/>
            <w:bookmarkStart w:id="11" w:name="OLE_LINK44"/>
            <w:r w:rsidRPr="00DC507E">
              <w:rPr>
                <w:rFonts w:ascii="Times New Roman" w:eastAsia="Times New Roman" w:hAnsi="Times New Roman" w:cs="Times New Roman"/>
                <w:sz w:val="20"/>
                <w:vertAlign w:val="superscript"/>
              </w:rPr>
              <w:t>03.00. Национальная безопасность и правоохранительная деятельность</w:t>
            </w:r>
          </w:p>
          <w:p w:rsidR="009264AB" w:rsidRPr="00DC507E" w:rsidRDefault="009264AB"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в том числе:</w:t>
            </w:r>
          </w:p>
          <w:bookmarkEnd w:id="10"/>
          <w:bookmarkEnd w:id="11"/>
          <w:p w:rsidR="009264AB" w:rsidRPr="00DC507E" w:rsidRDefault="009264AB"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218 000,00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434 000,00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438 000,00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200,92</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100,93</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1,17</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388 000,00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88,58</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1,21</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388 000,00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1,16</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-03.09. Гражданская оборона</w:t>
            </w:r>
          </w:p>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15 000,00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15 000,00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0,04</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-03.10.Защита населения и территории от чрезвычайных ситуаций природного и техногенного характера, пожарная безопасность</w:t>
            </w:r>
          </w:p>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200 000,00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416 000,00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420 000,00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210,00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100,97</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370 000,00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88,09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1,16</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370 000,00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1,11</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16"/>
                <w:szCs w:val="16"/>
                <w:vertAlign w:val="superscript"/>
              </w:rPr>
              <w:t>-03.14.Другие вопросы в области национальной безопасности и правоохранительной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3 000,00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3 000,00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0,01</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20"/>
                <w:vertAlign w:val="superscript"/>
              </w:rPr>
              <w:t>04.00. Национальная экономика.</w:t>
            </w:r>
          </w:p>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в том числе:</w:t>
            </w:r>
          </w:p>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4 852 634,10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12 474 950,59</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6 939 043,00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142,99</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55,63</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18,50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4 003 534,00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57,70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12,50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5 277 221,00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131,81</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15,82</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04.01.Общеэкономические вопросы;</w:t>
            </w:r>
          </w:p>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446 277,10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126 342,08</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33,61</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118,73</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150 000,00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0,45</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04.09. Дорожное хозяйство (Дорожные фонды)</w:t>
            </w:r>
          </w:p>
          <w:p w:rsidR="009264AB" w:rsidRPr="00DC507E" w:rsidRDefault="009264AB"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4 236 357,00</w:t>
            </w:r>
          </w:p>
          <w:p w:rsidR="009264AB" w:rsidRPr="00DC507E" w:rsidRDefault="009264AB"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12 127 408,51</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90FF4" w:rsidP="00DC507E">
            <w:pPr>
              <w:pStyle w:val="Default"/>
              <w:jc w:val="center"/>
              <w:rPr>
                <w:sz w:val="16"/>
                <w:szCs w:val="16"/>
                <w:vertAlign w:val="superscript"/>
              </w:rPr>
            </w:pPr>
            <w:r w:rsidRPr="00DC507E">
              <w:rPr>
                <w:sz w:val="16"/>
                <w:szCs w:val="16"/>
                <w:vertAlign w:val="superscript"/>
              </w:rPr>
              <w:t>6 589 043,00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155,53</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54,33</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17,57</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C507E" w:rsidP="00DC507E">
            <w:pPr>
              <w:pStyle w:val="Default"/>
              <w:jc w:val="center"/>
              <w:rPr>
                <w:sz w:val="16"/>
                <w:szCs w:val="16"/>
                <w:vertAlign w:val="superscript"/>
              </w:rPr>
            </w:pPr>
            <w:r w:rsidRPr="00DC507E">
              <w:rPr>
                <w:sz w:val="16"/>
                <w:szCs w:val="16"/>
                <w:vertAlign w:val="superscript"/>
              </w:rPr>
              <w:t>3 653 534,00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55,45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11,41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C507E" w:rsidP="00DC507E">
            <w:pPr>
              <w:pStyle w:val="Default"/>
              <w:jc w:val="center"/>
              <w:rPr>
                <w:sz w:val="16"/>
                <w:szCs w:val="16"/>
                <w:vertAlign w:val="superscript"/>
              </w:rPr>
            </w:pPr>
            <w:r w:rsidRPr="00DC507E">
              <w:rPr>
                <w:sz w:val="16"/>
                <w:szCs w:val="16"/>
                <w:vertAlign w:val="superscript"/>
              </w:rPr>
              <w:t>4 927 221,00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134,86</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14,77</w:t>
            </w:r>
          </w:p>
        </w:tc>
      </w:tr>
      <w:tr w:rsidR="009264AB"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64AB" w:rsidP="00DC507E">
            <w:pPr>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04.12. Другие вопросы в области национальной экономики;</w:t>
            </w:r>
          </w:p>
          <w:p w:rsidR="009264AB" w:rsidRPr="00DC507E" w:rsidRDefault="009264AB"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170 000,00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76D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221 200,00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117,65</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A104C3" w:rsidP="00DC507E">
            <w:pPr>
              <w:pStyle w:val="Default"/>
              <w:jc w:val="center"/>
              <w:rPr>
                <w:sz w:val="16"/>
                <w:szCs w:val="16"/>
                <w:vertAlign w:val="superscript"/>
              </w:rPr>
            </w:pPr>
            <w:r>
              <w:rPr>
                <w:sz w:val="16"/>
                <w:szCs w:val="16"/>
                <w:vertAlign w:val="superscript"/>
              </w:rPr>
              <w:t>90,42</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B2B6F" w:rsidP="00DC507E">
            <w:pPr>
              <w:pStyle w:val="Default"/>
              <w:jc w:val="center"/>
              <w:rPr>
                <w:sz w:val="16"/>
                <w:szCs w:val="16"/>
                <w:vertAlign w:val="superscript"/>
              </w:rPr>
            </w:pPr>
            <w:r>
              <w:rPr>
                <w:sz w:val="16"/>
                <w:szCs w:val="16"/>
                <w:vertAlign w:val="superscript"/>
              </w:rPr>
              <w:t>0,53</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920180" w:rsidP="00DC507E">
            <w:pPr>
              <w:pStyle w:val="Default"/>
              <w:jc w:val="center"/>
              <w:rPr>
                <w:sz w:val="16"/>
                <w:szCs w:val="16"/>
                <w:vertAlign w:val="superscript"/>
              </w:rPr>
            </w:pPr>
            <w:r>
              <w:rPr>
                <w:sz w:val="16"/>
                <w:szCs w:val="16"/>
                <w:vertAlign w:val="superscript"/>
              </w:rPr>
              <w:t>0,62</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264AB" w:rsidRPr="00DC507E" w:rsidRDefault="00B05011" w:rsidP="00DC507E">
            <w:pPr>
              <w:pStyle w:val="Default"/>
              <w:jc w:val="center"/>
              <w:rPr>
                <w:sz w:val="16"/>
                <w:szCs w:val="16"/>
                <w:vertAlign w:val="superscript"/>
              </w:rPr>
            </w:pPr>
            <w:r>
              <w:rPr>
                <w:sz w:val="16"/>
                <w:szCs w:val="16"/>
                <w:vertAlign w:val="superscript"/>
              </w:rPr>
              <w:t>0,60</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hAnsi="Times New Roman" w:cs="Times New Roman"/>
                <w:sz w:val="16"/>
                <w:szCs w:val="16"/>
                <w:vertAlign w:val="superscript"/>
              </w:rPr>
            </w:pPr>
            <w:r w:rsidRPr="00DC507E">
              <w:rPr>
                <w:rFonts w:ascii="Times New Roman" w:eastAsia="Times New Roman" w:hAnsi="Times New Roman" w:cs="Times New Roman"/>
                <w:sz w:val="20"/>
                <w:vertAlign w:val="superscript"/>
              </w:rPr>
              <w:lastRenderedPageBreak/>
              <w:t xml:space="preserve">05.00. Жилищно-коммунальное хозяйство </w:t>
            </w:r>
            <w:r w:rsidRPr="00DC507E">
              <w:rPr>
                <w:rFonts w:ascii="Times New Roman" w:eastAsia="Times New Roman" w:hAnsi="Times New Roman" w:cs="Times New Roman"/>
                <w:sz w:val="16"/>
                <w:szCs w:val="16"/>
                <w:vertAlign w:val="superscript"/>
              </w:rPr>
              <w:t>в том числе: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5 351 085,06</w:t>
            </w:r>
          </w:p>
          <w:p w:rsidR="00401962"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1C5CC1"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18 036 364,82</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7 302 299,65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136,46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19,47</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4 825 710,29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66,08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15,06</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4 861 461,29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100,74</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14,57</w:t>
            </w:r>
          </w:p>
        </w:tc>
      </w:tr>
      <w:tr w:rsidR="001C5CC1"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1C5CC1"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05.01.Жилищное хозяйство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394F55"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1 250 000,00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DC507E" w:rsidP="00DC507E">
            <w:pPr>
              <w:pStyle w:val="Default"/>
              <w:jc w:val="center"/>
              <w:rPr>
                <w:sz w:val="16"/>
                <w:szCs w:val="16"/>
                <w:vertAlign w:val="superscript"/>
              </w:rPr>
            </w:pPr>
            <w:r w:rsidRPr="00DC507E">
              <w:rPr>
                <w:sz w:val="16"/>
                <w:szCs w:val="16"/>
                <w:vertAlign w:val="superscript"/>
              </w:rPr>
              <w:t>1 881 000,00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A104C3" w:rsidP="00DC507E">
            <w:pPr>
              <w:pStyle w:val="Default"/>
              <w:jc w:val="center"/>
              <w:rPr>
                <w:sz w:val="16"/>
                <w:szCs w:val="16"/>
                <w:vertAlign w:val="superscript"/>
              </w:rPr>
            </w:pPr>
            <w:r>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A104C3" w:rsidP="00DC507E">
            <w:pPr>
              <w:pStyle w:val="Default"/>
              <w:jc w:val="center"/>
              <w:rPr>
                <w:sz w:val="16"/>
                <w:szCs w:val="16"/>
                <w:vertAlign w:val="superscript"/>
              </w:rPr>
            </w:pPr>
            <w:r>
              <w:rPr>
                <w:sz w:val="16"/>
                <w:szCs w:val="16"/>
                <w:vertAlign w:val="superscript"/>
              </w:rPr>
              <w:t>150,48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DB2B6F" w:rsidP="00DC507E">
            <w:pPr>
              <w:pStyle w:val="Default"/>
              <w:jc w:val="center"/>
              <w:rPr>
                <w:sz w:val="16"/>
                <w:szCs w:val="16"/>
                <w:vertAlign w:val="superscript"/>
              </w:rPr>
            </w:pPr>
            <w:r>
              <w:rPr>
                <w:sz w:val="16"/>
                <w:szCs w:val="16"/>
                <w:vertAlign w:val="superscript"/>
              </w:rPr>
              <w:t>5,02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DC507E" w:rsidP="00DC507E">
            <w:pPr>
              <w:pStyle w:val="Default"/>
              <w:jc w:val="center"/>
              <w:rPr>
                <w:sz w:val="16"/>
                <w:szCs w:val="16"/>
                <w:vertAlign w:val="superscript"/>
              </w:rPr>
            </w:pPr>
            <w:r w:rsidRPr="00DC507E">
              <w:rPr>
                <w:sz w:val="16"/>
                <w:szCs w:val="16"/>
                <w:vertAlign w:val="superscript"/>
              </w:rPr>
              <w:t>6 500,00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3F3B57" w:rsidP="00DC507E">
            <w:pPr>
              <w:pStyle w:val="Default"/>
              <w:jc w:val="center"/>
              <w:rPr>
                <w:sz w:val="16"/>
                <w:szCs w:val="16"/>
                <w:vertAlign w:val="superscript"/>
              </w:rPr>
            </w:pPr>
            <w:r>
              <w:rPr>
                <w:sz w:val="16"/>
                <w:szCs w:val="16"/>
                <w:vertAlign w:val="superscript"/>
              </w:rPr>
              <w:t>0,35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920180" w:rsidP="00DC507E">
            <w:pPr>
              <w:pStyle w:val="Default"/>
              <w:jc w:val="center"/>
              <w:rPr>
                <w:sz w:val="16"/>
                <w:szCs w:val="16"/>
                <w:vertAlign w:val="superscript"/>
              </w:rPr>
            </w:pPr>
            <w:r>
              <w:rPr>
                <w:sz w:val="16"/>
                <w:szCs w:val="16"/>
                <w:vertAlign w:val="superscript"/>
              </w:rPr>
              <w:t>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DC507E" w:rsidP="00DC507E">
            <w:pPr>
              <w:pStyle w:val="Default"/>
              <w:jc w:val="center"/>
              <w:rPr>
                <w:sz w:val="16"/>
                <w:szCs w:val="16"/>
                <w:vertAlign w:val="superscript"/>
              </w:rPr>
            </w:pPr>
            <w:r w:rsidRPr="00DC507E">
              <w:rPr>
                <w:sz w:val="16"/>
                <w:szCs w:val="16"/>
                <w:vertAlign w:val="superscript"/>
              </w:rPr>
              <w:t>7 000,00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3F3B57" w:rsidP="00DC507E">
            <w:pPr>
              <w:pStyle w:val="Default"/>
              <w:jc w:val="center"/>
              <w:rPr>
                <w:sz w:val="16"/>
                <w:szCs w:val="16"/>
                <w:vertAlign w:val="superscript"/>
              </w:rPr>
            </w:pPr>
            <w:r>
              <w:rPr>
                <w:sz w:val="16"/>
                <w:szCs w:val="16"/>
                <w:vertAlign w:val="superscript"/>
              </w:rPr>
              <w:t>107,69</w:t>
            </w:r>
          </w:p>
        </w:tc>
        <w:tc>
          <w:tcPr>
            <w:tcW w:w="532" w:type="dxa"/>
            <w:tcBorders>
              <w:top w:val="single" w:sz="4" w:space="0" w:color="auto"/>
              <w:left w:val="single" w:sz="4" w:space="0" w:color="auto"/>
              <w:bottom w:val="single" w:sz="4" w:space="0" w:color="auto"/>
              <w:right w:val="single" w:sz="4" w:space="0" w:color="auto"/>
            </w:tcBorders>
            <w:vAlign w:val="center"/>
            <w:hideMark/>
          </w:tcPr>
          <w:p w:rsidR="001C5CC1" w:rsidRPr="00DC507E" w:rsidRDefault="00B05011" w:rsidP="00DC507E">
            <w:pPr>
              <w:pStyle w:val="Default"/>
              <w:jc w:val="center"/>
              <w:rPr>
                <w:sz w:val="16"/>
                <w:szCs w:val="16"/>
                <w:vertAlign w:val="superscript"/>
              </w:rPr>
            </w:pPr>
            <w:r>
              <w:rPr>
                <w:sz w:val="16"/>
                <w:szCs w:val="16"/>
                <w:vertAlign w:val="superscript"/>
              </w:rPr>
              <w:t>0,02</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05.02.Коммунальное хозяйство;</w:t>
            </w:r>
          </w:p>
          <w:p w:rsidR="00401962" w:rsidRPr="00DC507E" w:rsidRDefault="00401962"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625 000,00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884 827,97</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735 000,00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117,60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83,07</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1,96</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735 000,00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735 000,00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2,20</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05.03.Благоустройство;</w:t>
            </w:r>
          </w:p>
          <w:p w:rsidR="00401962" w:rsidRPr="00DC507E" w:rsidRDefault="00401962"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p>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4 026 085,06</w:t>
            </w:r>
          </w:p>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p>
          <w:p w:rsidR="00401962"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14 871 144,85</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3 819 299,65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94,86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25,68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10,19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3 217 210,29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84,24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10,05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3 252 461,29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101,10</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9,75</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05.05. 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700 000,00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1 030 392,00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867 000,00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123,86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84,14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2,31</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867 000,00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2,71</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867 000,00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2,60</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20"/>
                <w:vertAlign w:val="superscript"/>
              </w:rPr>
              <w:t>07.00. Образование</w:t>
            </w:r>
          </w:p>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в том числе:</w:t>
            </w:r>
          </w:p>
          <w:p w:rsidR="00401962" w:rsidRPr="00DC507E" w:rsidRDefault="00401962" w:rsidP="00DC507E">
            <w:pPr>
              <w:spacing w:after="0" w:line="240" w:lineRule="auto"/>
              <w:jc w:val="center"/>
              <w:rPr>
                <w:rFonts w:ascii="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 xml:space="preserve">07.07. </w:t>
            </w:r>
            <w:r w:rsidRPr="00DC507E">
              <w:rPr>
                <w:rFonts w:ascii="Times New Roman" w:hAnsi="Times New Roman" w:cs="Times New Roman"/>
                <w:sz w:val="16"/>
                <w:szCs w:val="16"/>
                <w:vertAlign w:val="superscript"/>
              </w:rPr>
              <w:t>Молодежная политика;</w:t>
            </w:r>
          </w:p>
          <w:p w:rsidR="00401962" w:rsidRPr="00DC507E" w:rsidRDefault="00401962"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20 000,00</w:t>
            </w:r>
          </w:p>
          <w:p w:rsidR="00401962"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20 000,00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0,07</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104,76</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0,07</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20"/>
                <w:vertAlign w:val="superscript"/>
              </w:rPr>
              <w:t xml:space="preserve">08.00. Культура, кинематография </w:t>
            </w:r>
            <w:r w:rsidRPr="00DC507E">
              <w:rPr>
                <w:rFonts w:ascii="Times New Roman" w:eastAsia="Times New Roman" w:hAnsi="Times New Roman" w:cs="Times New Roman"/>
                <w:sz w:val="16"/>
                <w:szCs w:val="16"/>
                <w:vertAlign w:val="superscript"/>
              </w:rPr>
              <w:t>в том числе:</w:t>
            </w:r>
          </w:p>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08.01. Культура</w:t>
            </w:r>
          </w:p>
          <w:p w:rsidR="00401962" w:rsidRPr="00DC507E" w:rsidRDefault="00401962" w:rsidP="00DC507E">
            <w:pPr>
              <w:spacing w:after="0" w:line="240" w:lineRule="auto"/>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100 000,00</w:t>
            </w:r>
          </w:p>
          <w:p w:rsidR="00401962" w:rsidRPr="00DC507E" w:rsidRDefault="00401962" w:rsidP="00DC507E">
            <w:pPr>
              <w:suppressAutoHyphens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100 000,00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200,00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200,00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0,53</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0,62</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0,60</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20"/>
                <w:vertAlign w:val="superscript"/>
              </w:rPr>
              <w:t>10.00. Социальная политика</w:t>
            </w:r>
          </w:p>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в том числе:</w:t>
            </w:r>
          </w:p>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p>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230 000,00</w:t>
            </w:r>
          </w:p>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2 109 442,32</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260 000,00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A104C3">
            <w:pPr>
              <w:pStyle w:val="Default"/>
              <w:jc w:val="center"/>
              <w:rPr>
                <w:sz w:val="16"/>
                <w:szCs w:val="16"/>
                <w:vertAlign w:val="superscript"/>
              </w:rPr>
            </w:pPr>
            <w:r>
              <w:rPr>
                <w:sz w:val="16"/>
                <w:szCs w:val="16"/>
                <w:vertAlign w:val="superscript"/>
              </w:rPr>
              <w:t>113,04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0,69</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265 000,00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101,92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0,83</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270 000,00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101,89</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0,81</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10.01. Пенсионное обеспечение</w:t>
            </w:r>
          </w:p>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180 000,00</w:t>
            </w:r>
          </w:p>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181 615,02</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111,11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110,12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0,53</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0,62</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200 000,00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0,60</w:t>
            </w:r>
          </w:p>
        </w:tc>
      </w:tr>
      <w:tr w:rsidR="00394F55"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394F55"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16"/>
                <w:szCs w:val="16"/>
                <w:vertAlign w:val="superscript"/>
              </w:rPr>
              <w:t>10.03.Социальное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44562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84 000,00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394F55" w:rsidRPr="00DC507E" w:rsidRDefault="00DC507E" w:rsidP="00DC507E">
            <w:pPr>
              <w:pStyle w:val="Default"/>
              <w:jc w:val="center"/>
              <w:rPr>
                <w:sz w:val="16"/>
                <w:szCs w:val="16"/>
                <w:vertAlign w:val="superscript"/>
              </w:rPr>
            </w:pPr>
            <w:r w:rsidRPr="00DC507E">
              <w:rPr>
                <w:sz w:val="16"/>
                <w:szCs w:val="16"/>
                <w:vertAlign w:val="superscript"/>
              </w:rPr>
              <w:t>-</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16"/>
                <w:szCs w:val="16"/>
                <w:vertAlign w:val="superscript"/>
              </w:rPr>
              <w:t>10.04. Охрана семьи и детства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50 000,00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1 843 827,30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60 000,00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120,00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A104C3" w:rsidP="00DC507E">
            <w:pPr>
              <w:pStyle w:val="Default"/>
              <w:jc w:val="center"/>
              <w:rPr>
                <w:sz w:val="16"/>
                <w:szCs w:val="16"/>
                <w:vertAlign w:val="superscript"/>
              </w:rPr>
            </w:pPr>
            <w:r>
              <w:rPr>
                <w:sz w:val="16"/>
                <w:szCs w:val="16"/>
                <w:vertAlign w:val="superscript"/>
              </w:rPr>
              <w:t>3,25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B2B6F" w:rsidP="00DC507E">
            <w:pPr>
              <w:pStyle w:val="Default"/>
              <w:jc w:val="center"/>
              <w:rPr>
                <w:sz w:val="16"/>
                <w:szCs w:val="16"/>
                <w:vertAlign w:val="superscript"/>
              </w:rPr>
            </w:pPr>
            <w:r>
              <w:rPr>
                <w:sz w:val="16"/>
                <w:szCs w:val="16"/>
                <w:vertAlign w:val="superscript"/>
              </w:rPr>
              <w:t>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65 000,00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108,33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920180" w:rsidP="00DC507E">
            <w:pPr>
              <w:pStyle w:val="Default"/>
              <w:jc w:val="center"/>
              <w:rPr>
                <w:sz w:val="16"/>
                <w:szCs w:val="16"/>
                <w:vertAlign w:val="superscript"/>
              </w:rPr>
            </w:pPr>
            <w:r>
              <w:rPr>
                <w:sz w:val="16"/>
                <w:szCs w:val="16"/>
                <w:vertAlign w:val="superscript"/>
              </w:rPr>
              <w:t>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sz w:val="16"/>
                <w:szCs w:val="16"/>
                <w:vertAlign w:val="superscript"/>
              </w:rPr>
            </w:pPr>
            <w:r w:rsidRPr="00DC507E">
              <w:rPr>
                <w:sz w:val="16"/>
                <w:szCs w:val="16"/>
                <w:vertAlign w:val="superscript"/>
              </w:rPr>
              <w:t>70 000,00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F3B57" w:rsidP="00DC507E">
            <w:pPr>
              <w:pStyle w:val="Default"/>
              <w:jc w:val="center"/>
              <w:rPr>
                <w:sz w:val="16"/>
                <w:szCs w:val="16"/>
                <w:vertAlign w:val="superscript"/>
              </w:rPr>
            </w:pPr>
            <w:r>
              <w:rPr>
                <w:sz w:val="16"/>
                <w:szCs w:val="16"/>
                <w:vertAlign w:val="superscript"/>
              </w:rPr>
              <w:t>107,69</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B05011" w:rsidP="00DC507E">
            <w:pPr>
              <w:pStyle w:val="Default"/>
              <w:jc w:val="center"/>
              <w:rPr>
                <w:sz w:val="16"/>
                <w:szCs w:val="16"/>
                <w:vertAlign w:val="superscript"/>
              </w:rPr>
            </w:pPr>
            <w:r>
              <w:rPr>
                <w:sz w:val="16"/>
                <w:szCs w:val="16"/>
                <w:vertAlign w:val="superscript"/>
              </w:rPr>
              <w:t>0,21</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20"/>
                <w:vertAlign w:val="superscript"/>
              </w:rPr>
              <w:t>11.00. Физическая культура и спорт</w:t>
            </w:r>
          </w:p>
          <w:p w:rsidR="00401962" w:rsidRPr="00DC507E" w:rsidRDefault="00401962" w:rsidP="00DC507E">
            <w:pPr>
              <w:spacing w:after="0" w:line="240" w:lineRule="auto"/>
              <w:jc w:val="center"/>
              <w:rPr>
                <w:rFonts w:ascii="Times New Roman" w:eastAsia="Times New Roman" w:hAnsi="Times New Roman" w:cs="Times New Roman"/>
                <w:sz w:val="20"/>
                <w:vertAlign w:val="superscript"/>
              </w:rPr>
            </w:pPr>
            <w:r w:rsidRPr="00DC507E">
              <w:rPr>
                <w:rFonts w:ascii="Times New Roman" w:eastAsia="Times New Roman" w:hAnsi="Times New Roman" w:cs="Times New Roman"/>
                <w:sz w:val="20"/>
                <w:vertAlign w:val="superscript"/>
              </w:rPr>
              <w:t>в том числе:</w:t>
            </w:r>
          </w:p>
          <w:p w:rsidR="00401962" w:rsidRPr="00DC507E" w:rsidRDefault="00401962" w:rsidP="00DC507E">
            <w:pPr>
              <w:spacing w:after="0" w:line="240" w:lineRule="auto"/>
              <w:jc w:val="center"/>
              <w:rPr>
                <w:rFonts w:ascii="Times New Roman" w:eastAsia="Times New Roman" w:hAnsi="Times New Roman" w:cs="Times New Roman"/>
                <w:sz w:val="16"/>
                <w:szCs w:val="16"/>
                <w:vertAlign w:val="superscript"/>
              </w:rPr>
            </w:pPr>
            <w:r w:rsidRPr="00DC507E">
              <w:rPr>
                <w:rFonts w:ascii="Times New Roman" w:eastAsia="Times New Roman" w:hAnsi="Times New Roman" w:cs="Times New Roman"/>
                <w:sz w:val="20"/>
                <w:vertAlign w:val="superscript"/>
              </w:rPr>
              <w:t>11.02. Массовый сорт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sz w:val="16"/>
                <w:szCs w:val="16"/>
                <w:vertAlign w:val="superscript"/>
              </w:rPr>
            </w:pPr>
            <w:bookmarkStart w:id="12" w:name="OLE_LINK45"/>
            <w:bookmarkStart w:id="13" w:name="OLE_LINK46"/>
            <w:r w:rsidRPr="00DC507E">
              <w:rPr>
                <w:rFonts w:ascii="Times New Roman" w:hAnsi="Times New Roman" w:cs="Times New Roman"/>
                <w:sz w:val="16"/>
                <w:szCs w:val="16"/>
                <w:vertAlign w:val="superscript"/>
              </w:rPr>
              <w:t>260 000,00</w:t>
            </w:r>
            <w:bookmarkEnd w:id="12"/>
            <w:bookmarkEnd w:id="13"/>
          </w:p>
          <w:p w:rsidR="00445622" w:rsidRPr="00DC507E" w:rsidRDefault="00445622" w:rsidP="00DC507E">
            <w:pPr>
              <w:widowControl w:val="0"/>
              <w:spacing w:after="0" w:line="240" w:lineRule="auto"/>
              <w:jc w:val="center"/>
              <w:rPr>
                <w:rFonts w:ascii="Times New Roman" w:hAnsi="Times New Roman" w:cs="Times New Roman"/>
                <w:sz w:val="16"/>
                <w:szCs w:val="16"/>
                <w:vertAlign w:val="superscript"/>
              </w:rPr>
            </w:pPr>
          </w:p>
          <w:p w:rsidR="00445622" w:rsidRPr="00DC507E" w:rsidRDefault="00445622" w:rsidP="00DC507E">
            <w:pPr>
              <w:widowControl w:val="0"/>
              <w:spacing w:after="0" w:line="240" w:lineRule="auto"/>
              <w:jc w:val="center"/>
              <w:rPr>
                <w:rFonts w:ascii="Times New Roman" w:hAnsi="Times New Roman" w:cs="Times New Roman"/>
                <w:sz w:val="16"/>
                <w:szCs w:val="16"/>
                <w:vertAlign w:val="superscript"/>
              </w:rPr>
            </w:pPr>
          </w:p>
          <w:p w:rsidR="00445622" w:rsidRPr="00DC507E" w:rsidRDefault="00445622" w:rsidP="00DC507E">
            <w:pPr>
              <w:widowControl w:val="0"/>
              <w:spacing w:after="0" w:line="240" w:lineRule="auto"/>
              <w:jc w:val="center"/>
              <w:rPr>
                <w:rFonts w:ascii="Times New Roman" w:hAnsi="Times New Roman" w:cs="Times New Roman"/>
                <w:sz w:val="16"/>
                <w:szCs w:val="16"/>
                <w:vertAlign w:val="superscript"/>
              </w:rPr>
            </w:pPr>
          </w:p>
          <w:p w:rsidR="00445622" w:rsidRPr="00DC507E" w:rsidRDefault="00445622" w:rsidP="00DC507E">
            <w:pPr>
              <w:widowControl w:val="0"/>
              <w:spacing w:after="0" w:line="240" w:lineRule="auto"/>
              <w:jc w:val="center"/>
              <w:rPr>
                <w:rFonts w:ascii="Times New Roman" w:hAnsi="Times New Roman" w:cs="Times New Roman"/>
                <w:sz w:val="16"/>
                <w:szCs w:val="16"/>
                <w:vertAlign w:val="superscript"/>
              </w:rPr>
            </w:pPr>
          </w:p>
          <w:p w:rsidR="00445622" w:rsidRPr="00DC507E" w:rsidRDefault="00445622" w:rsidP="00DC507E">
            <w:pPr>
              <w:widowControl w:val="0"/>
              <w:spacing w:after="0" w:line="240" w:lineRule="auto"/>
              <w:jc w:val="center"/>
              <w:rPr>
                <w:rFonts w:ascii="Times New Roman" w:hAnsi="Times New Roman" w:cs="Times New Roman"/>
                <w:sz w:val="16"/>
                <w:szCs w:val="16"/>
                <w:vertAlign w:val="superscript"/>
              </w:rPr>
            </w:pPr>
            <w:r w:rsidRPr="00DC507E">
              <w:rPr>
                <w:rFonts w:ascii="Times New Roman" w:hAnsi="Times New Roman" w:cs="Times New Roman"/>
                <w:sz w:val="16"/>
                <w:szCs w:val="16"/>
                <w:vertAlign w:val="superscript"/>
              </w:rPr>
              <w:t>260 000,00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bookmarkStart w:id="14" w:name="OLE_LINK47"/>
            <w:bookmarkStart w:id="15" w:name="OLE_LINK48"/>
            <w:r w:rsidRPr="00DC507E">
              <w:rPr>
                <w:rFonts w:ascii="Times New Roman" w:eastAsia="Times New Roman" w:hAnsi="Times New Roman" w:cs="Times New Roman"/>
                <w:color w:val="000000"/>
                <w:sz w:val="16"/>
                <w:szCs w:val="16"/>
                <w:vertAlign w:val="superscript"/>
              </w:rPr>
              <w:t>271 829,00</w:t>
            </w:r>
            <w:bookmarkEnd w:id="14"/>
            <w:bookmarkEnd w:id="15"/>
          </w:p>
          <w:p w:rsidR="00445622" w:rsidRPr="00DC507E" w:rsidRDefault="00445622"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p w:rsidR="00445622" w:rsidRPr="00DC507E" w:rsidRDefault="00445622"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p w:rsidR="00445622" w:rsidRPr="00DC507E" w:rsidRDefault="00445622"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p w:rsidR="00445622" w:rsidRPr="00DC507E" w:rsidRDefault="00445622"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p>
          <w:p w:rsidR="00445622" w:rsidRPr="00DC507E" w:rsidRDefault="00445622" w:rsidP="00DC507E">
            <w:pPr>
              <w:suppressAutoHyphens w:val="0"/>
              <w:spacing w:after="0" w:line="240" w:lineRule="auto"/>
              <w:jc w:val="center"/>
              <w:rPr>
                <w:rFonts w:ascii="Times New Roman" w:eastAsia="Times New Roman" w:hAnsi="Times New Roman" w:cs="Times New Roman"/>
                <w:color w:val="000000"/>
                <w:sz w:val="16"/>
                <w:szCs w:val="16"/>
                <w:vertAlign w:val="superscript"/>
              </w:rPr>
            </w:pPr>
            <w:r w:rsidRPr="00DC507E">
              <w:rPr>
                <w:rFonts w:ascii="Times New Roman" w:eastAsia="Times New Roman" w:hAnsi="Times New Roman" w:cs="Times New Roman"/>
                <w:color w:val="000000"/>
                <w:sz w:val="16"/>
                <w:szCs w:val="16"/>
                <w:vertAlign w:val="superscript"/>
              </w:rPr>
              <w:t>271 829,00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Default="00DC507E" w:rsidP="00DC507E">
            <w:pPr>
              <w:pStyle w:val="Default"/>
              <w:jc w:val="center"/>
              <w:rPr>
                <w:sz w:val="16"/>
                <w:szCs w:val="16"/>
                <w:vertAlign w:val="superscript"/>
              </w:rPr>
            </w:pPr>
            <w:r w:rsidRPr="00DC507E">
              <w:rPr>
                <w:sz w:val="16"/>
                <w:szCs w:val="16"/>
                <w:vertAlign w:val="superscript"/>
              </w:rPr>
              <w:t>350 000,00</w:t>
            </w: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Pr="00DC507E" w:rsidRDefault="00A104C3" w:rsidP="00DC507E">
            <w:pPr>
              <w:pStyle w:val="Default"/>
              <w:jc w:val="center"/>
              <w:rPr>
                <w:sz w:val="16"/>
                <w:szCs w:val="16"/>
                <w:vertAlign w:val="superscript"/>
              </w:rPr>
            </w:pPr>
            <w:r>
              <w:rPr>
                <w:sz w:val="16"/>
                <w:szCs w:val="16"/>
                <w:vertAlign w:val="superscript"/>
              </w:rPr>
              <w:t>350 000,00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Default="00975073" w:rsidP="00DC507E">
            <w:pPr>
              <w:pStyle w:val="Default"/>
              <w:jc w:val="center"/>
              <w:rPr>
                <w:sz w:val="16"/>
                <w:szCs w:val="16"/>
                <w:vertAlign w:val="superscript"/>
              </w:rPr>
            </w:pPr>
            <w:r>
              <w:rPr>
                <w:sz w:val="16"/>
                <w:szCs w:val="16"/>
                <w:vertAlign w:val="superscript"/>
              </w:rPr>
              <w:t>134,62</w:t>
            </w: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Pr="00DC507E" w:rsidRDefault="00975073" w:rsidP="00DC507E">
            <w:pPr>
              <w:pStyle w:val="Default"/>
              <w:jc w:val="center"/>
              <w:rPr>
                <w:sz w:val="16"/>
                <w:szCs w:val="16"/>
                <w:vertAlign w:val="superscript"/>
              </w:rPr>
            </w:pPr>
            <w:r>
              <w:rPr>
                <w:sz w:val="16"/>
                <w:szCs w:val="16"/>
                <w:vertAlign w:val="superscript"/>
              </w:rPr>
              <w:t>134,62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Default="00975073" w:rsidP="00DC507E">
            <w:pPr>
              <w:pStyle w:val="Default"/>
              <w:jc w:val="center"/>
              <w:rPr>
                <w:sz w:val="16"/>
                <w:szCs w:val="16"/>
                <w:vertAlign w:val="superscript"/>
              </w:rPr>
            </w:pPr>
            <w:r>
              <w:rPr>
                <w:sz w:val="16"/>
                <w:szCs w:val="16"/>
                <w:vertAlign w:val="superscript"/>
              </w:rPr>
              <w:t>128,76</w:t>
            </w: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Pr="00DC507E" w:rsidRDefault="00975073" w:rsidP="00DC507E">
            <w:pPr>
              <w:pStyle w:val="Default"/>
              <w:jc w:val="center"/>
              <w:rPr>
                <w:sz w:val="16"/>
                <w:szCs w:val="16"/>
                <w:vertAlign w:val="superscript"/>
              </w:rPr>
            </w:pPr>
            <w:r>
              <w:rPr>
                <w:sz w:val="16"/>
                <w:szCs w:val="16"/>
                <w:vertAlign w:val="superscript"/>
              </w:rPr>
              <w:t>128,76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Default="00DB2B6F" w:rsidP="00DC507E">
            <w:pPr>
              <w:pStyle w:val="Default"/>
              <w:jc w:val="center"/>
              <w:rPr>
                <w:sz w:val="16"/>
                <w:szCs w:val="16"/>
                <w:vertAlign w:val="superscript"/>
              </w:rPr>
            </w:pPr>
            <w:r>
              <w:rPr>
                <w:sz w:val="16"/>
                <w:szCs w:val="16"/>
                <w:vertAlign w:val="superscript"/>
              </w:rPr>
              <w:t>0,93</w:t>
            </w:r>
          </w:p>
          <w:p w:rsidR="00DB2B6F" w:rsidRDefault="00DB2B6F" w:rsidP="00DC507E">
            <w:pPr>
              <w:pStyle w:val="Default"/>
              <w:jc w:val="center"/>
              <w:rPr>
                <w:sz w:val="16"/>
                <w:szCs w:val="16"/>
                <w:vertAlign w:val="superscript"/>
              </w:rPr>
            </w:pPr>
          </w:p>
          <w:p w:rsidR="00DB2B6F" w:rsidRDefault="00DB2B6F" w:rsidP="00DC507E">
            <w:pPr>
              <w:pStyle w:val="Default"/>
              <w:jc w:val="center"/>
              <w:rPr>
                <w:sz w:val="16"/>
                <w:szCs w:val="16"/>
                <w:vertAlign w:val="superscript"/>
              </w:rPr>
            </w:pPr>
          </w:p>
          <w:p w:rsidR="00DB2B6F" w:rsidRDefault="00DB2B6F" w:rsidP="00DC507E">
            <w:pPr>
              <w:pStyle w:val="Default"/>
              <w:jc w:val="center"/>
              <w:rPr>
                <w:sz w:val="16"/>
                <w:szCs w:val="16"/>
                <w:vertAlign w:val="superscript"/>
              </w:rPr>
            </w:pPr>
          </w:p>
          <w:p w:rsidR="00DB2B6F" w:rsidRPr="00DC507E" w:rsidRDefault="00DB2B6F" w:rsidP="00DC507E">
            <w:pPr>
              <w:pStyle w:val="Default"/>
              <w:jc w:val="center"/>
              <w:rPr>
                <w:sz w:val="16"/>
                <w:szCs w:val="16"/>
                <w:vertAlign w:val="superscript"/>
              </w:rPr>
            </w:pPr>
            <w:r>
              <w:rPr>
                <w:sz w:val="16"/>
                <w:szCs w:val="16"/>
                <w:vertAlign w:val="superscript"/>
              </w:rPr>
              <w:t>0,93</w:t>
            </w:r>
          </w:p>
        </w:tc>
        <w:tc>
          <w:tcPr>
            <w:tcW w:w="992" w:type="dxa"/>
            <w:tcBorders>
              <w:top w:val="single" w:sz="4" w:space="0" w:color="auto"/>
              <w:left w:val="single" w:sz="4" w:space="0" w:color="auto"/>
              <w:bottom w:val="single" w:sz="4" w:space="0" w:color="auto"/>
              <w:right w:val="single" w:sz="4" w:space="0" w:color="auto"/>
            </w:tcBorders>
            <w:vAlign w:val="center"/>
            <w:hideMark/>
          </w:tcPr>
          <w:p w:rsidR="00A104C3" w:rsidRDefault="00DC507E" w:rsidP="00DC507E">
            <w:pPr>
              <w:pStyle w:val="Default"/>
              <w:jc w:val="center"/>
              <w:rPr>
                <w:sz w:val="16"/>
                <w:szCs w:val="16"/>
                <w:vertAlign w:val="superscript"/>
              </w:rPr>
            </w:pPr>
            <w:r w:rsidRPr="00DC507E">
              <w:rPr>
                <w:sz w:val="16"/>
                <w:szCs w:val="16"/>
                <w:vertAlign w:val="superscript"/>
              </w:rPr>
              <w:t>300 000,00</w:t>
            </w: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r>
              <w:rPr>
                <w:sz w:val="16"/>
                <w:szCs w:val="16"/>
                <w:vertAlign w:val="superscript"/>
              </w:rPr>
              <w:t>300 000,00</w:t>
            </w:r>
          </w:p>
          <w:p w:rsidR="00A104C3" w:rsidRPr="00DC507E" w:rsidRDefault="00A104C3" w:rsidP="00DC507E">
            <w:pPr>
              <w:pStyle w:val="Default"/>
              <w:jc w:val="center"/>
              <w:rPr>
                <w:sz w:val="16"/>
                <w:szCs w:val="16"/>
                <w:vertAlign w:val="superscript"/>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Default="00975073" w:rsidP="00DC507E">
            <w:pPr>
              <w:pStyle w:val="Default"/>
              <w:jc w:val="center"/>
              <w:rPr>
                <w:sz w:val="16"/>
                <w:szCs w:val="16"/>
                <w:vertAlign w:val="superscript"/>
              </w:rPr>
            </w:pPr>
            <w:r>
              <w:rPr>
                <w:sz w:val="16"/>
                <w:szCs w:val="16"/>
                <w:vertAlign w:val="superscript"/>
              </w:rPr>
              <w:t>85,71</w:t>
            </w: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Pr="00DC507E" w:rsidRDefault="00975073" w:rsidP="00DC507E">
            <w:pPr>
              <w:pStyle w:val="Default"/>
              <w:jc w:val="center"/>
              <w:rPr>
                <w:sz w:val="16"/>
                <w:szCs w:val="16"/>
                <w:vertAlign w:val="superscript"/>
              </w:rPr>
            </w:pPr>
            <w:r>
              <w:rPr>
                <w:sz w:val="16"/>
                <w:szCs w:val="16"/>
                <w:vertAlign w:val="superscript"/>
              </w:rPr>
              <w:t>85,71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Default="00920180" w:rsidP="00DC507E">
            <w:pPr>
              <w:pStyle w:val="Default"/>
              <w:jc w:val="center"/>
              <w:rPr>
                <w:sz w:val="16"/>
                <w:szCs w:val="16"/>
                <w:vertAlign w:val="superscript"/>
              </w:rPr>
            </w:pPr>
            <w:r>
              <w:rPr>
                <w:sz w:val="16"/>
                <w:szCs w:val="16"/>
                <w:vertAlign w:val="superscript"/>
              </w:rPr>
              <w:t>0,94</w:t>
            </w:r>
          </w:p>
          <w:p w:rsidR="00920180" w:rsidRDefault="00920180" w:rsidP="00DC507E">
            <w:pPr>
              <w:pStyle w:val="Default"/>
              <w:jc w:val="center"/>
              <w:rPr>
                <w:sz w:val="16"/>
                <w:szCs w:val="16"/>
                <w:vertAlign w:val="superscript"/>
              </w:rPr>
            </w:pPr>
          </w:p>
          <w:p w:rsidR="00920180" w:rsidRDefault="00920180" w:rsidP="00DC507E">
            <w:pPr>
              <w:pStyle w:val="Default"/>
              <w:jc w:val="center"/>
              <w:rPr>
                <w:sz w:val="16"/>
                <w:szCs w:val="16"/>
                <w:vertAlign w:val="superscript"/>
              </w:rPr>
            </w:pPr>
          </w:p>
          <w:p w:rsidR="00920180" w:rsidRDefault="00920180" w:rsidP="00DC507E">
            <w:pPr>
              <w:pStyle w:val="Default"/>
              <w:jc w:val="center"/>
              <w:rPr>
                <w:sz w:val="16"/>
                <w:szCs w:val="16"/>
                <w:vertAlign w:val="superscript"/>
              </w:rPr>
            </w:pPr>
          </w:p>
          <w:p w:rsidR="00920180" w:rsidRDefault="00920180" w:rsidP="00DC507E">
            <w:pPr>
              <w:pStyle w:val="Default"/>
              <w:jc w:val="center"/>
              <w:rPr>
                <w:sz w:val="16"/>
                <w:szCs w:val="16"/>
                <w:vertAlign w:val="superscript"/>
              </w:rPr>
            </w:pPr>
          </w:p>
          <w:p w:rsidR="00920180" w:rsidRPr="00DC507E" w:rsidRDefault="00920180" w:rsidP="00DC507E">
            <w:pPr>
              <w:pStyle w:val="Default"/>
              <w:jc w:val="center"/>
              <w:rPr>
                <w:sz w:val="16"/>
                <w:szCs w:val="16"/>
                <w:vertAlign w:val="superscript"/>
              </w:rPr>
            </w:pPr>
            <w:r>
              <w:rPr>
                <w:sz w:val="16"/>
                <w:szCs w:val="16"/>
                <w:vertAlign w:val="superscript"/>
              </w:rPr>
              <w:t>0,94</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Default="00DC507E" w:rsidP="00DC507E">
            <w:pPr>
              <w:pStyle w:val="Default"/>
              <w:jc w:val="center"/>
              <w:rPr>
                <w:sz w:val="16"/>
                <w:szCs w:val="16"/>
                <w:vertAlign w:val="superscript"/>
              </w:rPr>
            </w:pPr>
            <w:r w:rsidRPr="00DC507E">
              <w:rPr>
                <w:sz w:val="16"/>
                <w:szCs w:val="16"/>
                <w:vertAlign w:val="superscript"/>
              </w:rPr>
              <w:t>300 000,00</w:t>
            </w: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Default="00A104C3" w:rsidP="00DC507E">
            <w:pPr>
              <w:pStyle w:val="Default"/>
              <w:jc w:val="center"/>
              <w:rPr>
                <w:sz w:val="16"/>
                <w:szCs w:val="16"/>
                <w:vertAlign w:val="superscript"/>
              </w:rPr>
            </w:pPr>
          </w:p>
          <w:p w:rsidR="00A104C3" w:rsidRPr="00DC507E" w:rsidRDefault="00A104C3" w:rsidP="00DC507E">
            <w:pPr>
              <w:pStyle w:val="Default"/>
              <w:jc w:val="center"/>
              <w:rPr>
                <w:sz w:val="16"/>
                <w:szCs w:val="16"/>
                <w:vertAlign w:val="superscript"/>
              </w:rPr>
            </w:pPr>
            <w:r>
              <w:rPr>
                <w:sz w:val="16"/>
                <w:szCs w:val="16"/>
                <w:vertAlign w:val="superscript"/>
              </w:rPr>
              <w:t>300 000,00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Default="00975073" w:rsidP="00DC507E">
            <w:pPr>
              <w:pStyle w:val="Default"/>
              <w:jc w:val="center"/>
              <w:rPr>
                <w:sz w:val="16"/>
                <w:szCs w:val="16"/>
                <w:vertAlign w:val="superscript"/>
              </w:rPr>
            </w:pPr>
            <w:r>
              <w:rPr>
                <w:sz w:val="16"/>
                <w:szCs w:val="16"/>
                <w:vertAlign w:val="superscript"/>
              </w:rPr>
              <w:t>100,00</w:t>
            </w: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Default="00975073" w:rsidP="00DC507E">
            <w:pPr>
              <w:pStyle w:val="Default"/>
              <w:jc w:val="center"/>
              <w:rPr>
                <w:sz w:val="16"/>
                <w:szCs w:val="16"/>
                <w:vertAlign w:val="superscript"/>
              </w:rPr>
            </w:pPr>
          </w:p>
          <w:p w:rsidR="00975073" w:rsidRPr="00DC507E" w:rsidRDefault="00975073" w:rsidP="00DC507E">
            <w:pPr>
              <w:pStyle w:val="Default"/>
              <w:jc w:val="center"/>
              <w:rPr>
                <w:sz w:val="16"/>
                <w:szCs w:val="16"/>
                <w:vertAlign w:val="superscript"/>
              </w:rPr>
            </w:pPr>
            <w:r>
              <w:rPr>
                <w:sz w:val="16"/>
                <w:szCs w:val="16"/>
                <w:vertAlign w:val="superscript"/>
              </w:rPr>
              <w:t>1000,00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Default="00B05011" w:rsidP="00DC507E">
            <w:pPr>
              <w:pStyle w:val="Default"/>
              <w:jc w:val="center"/>
              <w:rPr>
                <w:sz w:val="16"/>
                <w:szCs w:val="16"/>
                <w:vertAlign w:val="superscript"/>
              </w:rPr>
            </w:pPr>
            <w:r>
              <w:rPr>
                <w:sz w:val="16"/>
                <w:szCs w:val="16"/>
                <w:vertAlign w:val="superscript"/>
              </w:rPr>
              <w:t>0,90</w:t>
            </w:r>
          </w:p>
          <w:p w:rsidR="00B05011" w:rsidRDefault="00B05011" w:rsidP="00DC507E">
            <w:pPr>
              <w:pStyle w:val="Default"/>
              <w:jc w:val="center"/>
              <w:rPr>
                <w:sz w:val="16"/>
                <w:szCs w:val="16"/>
                <w:vertAlign w:val="superscript"/>
              </w:rPr>
            </w:pPr>
          </w:p>
          <w:p w:rsidR="00B05011" w:rsidRDefault="00B05011" w:rsidP="00DC507E">
            <w:pPr>
              <w:pStyle w:val="Default"/>
              <w:jc w:val="center"/>
              <w:rPr>
                <w:sz w:val="16"/>
                <w:szCs w:val="16"/>
                <w:vertAlign w:val="superscript"/>
              </w:rPr>
            </w:pPr>
          </w:p>
          <w:p w:rsidR="00B05011" w:rsidRDefault="00B05011" w:rsidP="00DC507E">
            <w:pPr>
              <w:pStyle w:val="Default"/>
              <w:jc w:val="center"/>
              <w:rPr>
                <w:sz w:val="16"/>
                <w:szCs w:val="16"/>
                <w:vertAlign w:val="superscript"/>
              </w:rPr>
            </w:pPr>
          </w:p>
          <w:p w:rsidR="00B05011" w:rsidRPr="00DC507E" w:rsidRDefault="00B05011" w:rsidP="00DC507E">
            <w:pPr>
              <w:pStyle w:val="Default"/>
              <w:jc w:val="center"/>
              <w:rPr>
                <w:sz w:val="16"/>
                <w:szCs w:val="16"/>
                <w:vertAlign w:val="superscript"/>
              </w:rPr>
            </w:pPr>
            <w:r>
              <w:rPr>
                <w:sz w:val="16"/>
                <w:szCs w:val="16"/>
                <w:vertAlign w:val="superscript"/>
              </w:rPr>
              <w:t>0,90</w:t>
            </w:r>
          </w:p>
        </w:tc>
      </w:tr>
      <w:tr w:rsidR="00401962" w:rsidTr="00DC507E">
        <w:trPr>
          <w:trHeight w:val="746"/>
        </w:trPr>
        <w:tc>
          <w:tcPr>
            <w:tcW w:w="110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spacing w:after="0" w:line="240" w:lineRule="auto"/>
              <w:jc w:val="center"/>
              <w:rPr>
                <w:rFonts w:ascii="Times New Roman" w:hAnsi="Times New Roman" w:cs="Times New Roman"/>
                <w:b/>
                <w:vertAlign w:val="superscript"/>
              </w:rPr>
            </w:pPr>
            <w:r w:rsidRPr="00DC507E">
              <w:rPr>
                <w:rFonts w:ascii="Times New Roman" w:eastAsia="Times New Roman" w:hAnsi="Times New Roman" w:cs="Times New Roman"/>
                <w:b/>
                <w:sz w:val="20"/>
                <w:vertAlign w:val="superscript"/>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401962" w:rsidP="00DC507E">
            <w:pPr>
              <w:widowControl w:val="0"/>
              <w:spacing w:after="0" w:line="240" w:lineRule="auto"/>
              <w:jc w:val="center"/>
              <w:rPr>
                <w:rFonts w:ascii="Times New Roman" w:hAnsi="Times New Roman" w:cs="Times New Roman"/>
                <w:b/>
                <w:sz w:val="16"/>
                <w:szCs w:val="16"/>
                <w:vertAlign w:val="superscript"/>
              </w:rPr>
            </w:pPr>
            <w:r w:rsidRPr="00DC507E">
              <w:rPr>
                <w:rFonts w:ascii="Times New Roman" w:hAnsi="Times New Roman" w:cs="Times New Roman"/>
                <w:b/>
                <w:sz w:val="16"/>
                <w:szCs w:val="16"/>
                <w:vertAlign w:val="superscript"/>
              </w:rPr>
              <w:t>30 876 703,06</w:t>
            </w:r>
          </w:p>
        </w:tc>
        <w:tc>
          <w:tcPr>
            <w:tcW w:w="850"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394F55" w:rsidP="00DC507E">
            <w:pPr>
              <w:suppressAutoHyphens w:val="0"/>
              <w:spacing w:after="0" w:line="240" w:lineRule="auto"/>
              <w:jc w:val="center"/>
              <w:rPr>
                <w:rFonts w:ascii="Times New Roman" w:eastAsia="Times New Roman" w:hAnsi="Times New Roman" w:cs="Times New Roman"/>
                <w:b/>
                <w:color w:val="000000"/>
                <w:sz w:val="16"/>
                <w:szCs w:val="16"/>
                <w:vertAlign w:val="superscript"/>
              </w:rPr>
            </w:pPr>
            <w:r w:rsidRPr="00DC507E">
              <w:rPr>
                <w:rFonts w:ascii="Times New Roman" w:eastAsia="Times New Roman" w:hAnsi="Times New Roman" w:cs="Times New Roman"/>
                <w:b/>
                <w:color w:val="000000"/>
                <w:sz w:val="16"/>
                <w:szCs w:val="16"/>
                <w:vertAlign w:val="superscript"/>
              </w:rPr>
              <w:t>52 930 487,79</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0905B8">
            <w:pPr>
              <w:pStyle w:val="Default"/>
              <w:jc w:val="center"/>
              <w:rPr>
                <w:b/>
                <w:sz w:val="16"/>
                <w:szCs w:val="16"/>
                <w:vertAlign w:val="superscript"/>
              </w:rPr>
            </w:pPr>
            <w:r w:rsidRPr="00DC507E">
              <w:rPr>
                <w:b/>
                <w:sz w:val="16"/>
                <w:szCs w:val="16"/>
                <w:vertAlign w:val="superscript"/>
              </w:rPr>
              <w:t>37 5</w:t>
            </w:r>
            <w:r w:rsidR="000905B8">
              <w:rPr>
                <w:b/>
                <w:sz w:val="16"/>
                <w:szCs w:val="16"/>
                <w:vertAlign w:val="superscript"/>
              </w:rPr>
              <w:t>1</w:t>
            </w:r>
            <w:r w:rsidRPr="00DC507E">
              <w:rPr>
                <w:b/>
                <w:sz w:val="16"/>
                <w:szCs w:val="16"/>
                <w:vertAlign w:val="superscript"/>
              </w:rPr>
              <w:t>0 338,70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121,48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70,87</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b/>
                <w:sz w:val="16"/>
                <w:szCs w:val="16"/>
                <w:vertAlign w:val="superscript"/>
              </w:rPr>
            </w:pPr>
            <w:r w:rsidRPr="00DC507E">
              <w:rPr>
                <w:b/>
                <w:sz w:val="16"/>
                <w:szCs w:val="16"/>
                <w:vertAlign w:val="superscript"/>
              </w:rPr>
              <w:t>32 027 960,34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85,38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100,00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DC507E" w:rsidP="00DC507E">
            <w:pPr>
              <w:pStyle w:val="Default"/>
              <w:jc w:val="center"/>
              <w:rPr>
                <w:b/>
                <w:sz w:val="16"/>
                <w:szCs w:val="16"/>
                <w:vertAlign w:val="superscript"/>
              </w:rPr>
            </w:pPr>
            <w:r w:rsidRPr="00DC507E">
              <w:rPr>
                <w:b/>
                <w:sz w:val="16"/>
                <w:szCs w:val="16"/>
                <w:vertAlign w:val="superscript"/>
              </w:rPr>
              <w:t>33 356 668,34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104,05</w:t>
            </w:r>
          </w:p>
        </w:tc>
        <w:tc>
          <w:tcPr>
            <w:tcW w:w="532" w:type="dxa"/>
            <w:tcBorders>
              <w:top w:val="single" w:sz="4" w:space="0" w:color="auto"/>
              <w:left w:val="single" w:sz="4" w:space="0" w:color="auto"/>
              <w:bottom w:val="single" w:sz="4" w:space="0" w:color="auto"/>
              <w:right w:val="single" w:sz="4" w:space="0" w:color="auto"/>
            </w:tcBorders>
            <w:vAlign w:val="center"/>
            <w:hideMark/>
          </w:tcPr>
          <w:p w:rsidR="00401962" w:rsidRPr="00DC507E" w:rsidRDefault="005740D1" w:rsidP="00DC507E">
            <w:pPr>
              <w:pStyle w:val="Default"/>
              <w:jc w:val="center"/>
              <w:rPr>
                <w:b/>
                <w:sz w:val="16"/>
                <w:szCs w:val="16"/>
                <w:vertAlign w:val="superscript"/>
              </w:rPr>
            </w:pPr>
            <w:r>
              <w:rPr>
                <w:b/>
                <w:sz w:val="16"/>
                <w:szCs w:val="16"/>
                <w:vertAlign w:val="superscript"/>
              </w:rPr>
              <w:t>100,00</w:t>
            </w:r>
          </w:p>
        </w:tc>
      </w:tr>
    </w:tbl>
    <w:p w:rsidR="009264AB" w:rsidRDefault="009264AB" w:rsidP="00F27289">
      <w:pPr>
        <w:pStyle w:val="af1"/>
        <w:ind w:firstLine="709"/>
        <w:jc w:val="both"/>
        <w:rPr>
          <w:rFonts w:eastAsia="Calibri"/>
          <w:sz w:val="24"/>
          <w:lang w:eastAsia="en-US"/>
        </w:rPr>
      </w:pP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202</w:t>
      </w:r>
      <w:r w:rsidR="00F02489">
        <w:rPr>
          <w:rFonts w:ascii="Times New Roman" w:hAnsi="Times New Roman" w:cs="Times New Roman"/>
          <w:sz w:val="24"/>
          <w:szCs w:val="24"/>
        </w:rPr>
        <w:t>4</w:t>
      </w:r>
      <w:r>
        <w:rPr>
          <w:rFonts w:ascii="Times New Roman" w:hAnsi="Times New Roman" w:cs="Times New Roman"/>
          <w:sz w:val="24"/>
          <w:szCs w:val="24"/>
        </w:rPr>
        <w:t xml:space="preserve"> года  в сравнении с</w:t>
      </w:r>
      <w:r w:rsidR="00F02489">
        <w:rPr>
          <w:rFonts w:ascii="Times New Roman" w:hAnsi="Times New Roman" w:cs="Times New Roman"/>
          <w:sz w:val="24"/>
          <w:szCs w:val="24"/>
        </w:rPr>
        <w:t xml:space="preserve"> первоначально</w:t>
      </w:r>
      <w:r>
        <w:rPr>
          <w:rFonts w:ascii="Times New Roman" w:hAnsi="Times New Roman" w:cs="Times New Roman"/>
          <w:sz w:val="24"/>
          <w:szCs w:val="24"/>
        </w:rPr>
        <w:t xml:space="preserve"> утвержденным бюджетом на 202</w:t>
      </w:r>
      <w:r w:rsidR="00F02489">
        <w:rPr>
          <w:rFonts w:ascii="Times New Roman" w:hAnsi="Times New Roman" w:cs="Times New Roman"/>
          <w:sz w:val="24"/>
          <w:szCs w:val="24"/>
        </w:rPr>
        <w:t>3</w:t>
      </w:r>
      <w:r>
        <w:rPr>
          <w:rFonts w:ascii="Times New Roman" w:hAnsi="Times New Roman" w:cs="Times New Roman"/>
          <w:sz w:val="24"/>
          <w:szCs w:val="24"/>
        </w:rPr>
        <w:t xml:space="preserve"> год запланированы с ростом на </w:t>
      </w:r>
      <w:r w:rsidR="00F02489">
        <w:rPr>
          <w:rFonts w:ascii="Times New Roman" w:hAnsi="Times New Roman" w:cs="Times New Roman"/>
          <w:sz w:val="24"/>
          <w:szCs w:val="24"/>
        </w:rPr>
        <w:t>21,48</w:t>
      </w:r>
      <w:r>
        <w:rPr>
          <w:rFonts w:ascii="Times New Roman" w:hAnsi="Times New Roman" w:cs="Times New Roman"/>
          <w:sz w:val="24"/>
          <w:szCs w:val="24"/>
        </w:rPr>
        <w:t>%</w:t>
      </w:r>
      <w:r w:rsidR="00EC70CE">
        <w:rPr>
          <w:rFonts w:ascii="Times New Roman" w:hAnsi="Times New Roman" w:cs="Times New Roman"/>
          <w:sz w:val="24"/>
          <w:szCs w:val="24"/>
        </w:rPr>
        <w:t xml:space="preserve"> или 6 633 635,64 рублей</w:t>
      </w:r>
      <w:r>
        <w:rPr>
          <w:rFonts w:ascii="Times New Roman" w:hAnsi="Times New Roman" w:cs="Times New Roman"/>
          <w:sz w:val="24"/>
          <w:szCs w:val="24"/>
        </w:rPr>
        <w:t xml:space="preserve"> и снижением</w:t>
      </w:r>
      <w:r w:rsidR="00F02489">
        <w:rPr>
          <w:rFonts w:ascii="Times New Roman" w:hAnsi="Times New Roman" w:cs="Times New Roman"/>
          <w:sz w:val="24"/>
          <w:szCs w:val="24"/>
        </w:rPr>
        <w:t xml:space="preserve"> объема бюджетных ассигнований</w:t>
      </w:r>
      <w:r>
        <w:rPr>
          <w:rFonts w:ascii="Times New Roman" w:hAnsi="Times New Roman" w:cs="Times New Roman"/>
          <w:sz w:val="24"/>
          <w:szCs w:val="24"/>
        </w:rPr>
        <w:t xml:space="preserve"> на </w:t>
      </w:r>
      <w:r w:rsidR="00F02489">
        <w:rPr>
          <w:rFonts w:ascii="Times New Roman" w:hAnsi="Times New Roman" w:cs="Times New Roman"/>
          <w:sz w:val="24"/>
          <w:szCs w:val="24"/>
        </w:rPr>
        <w:t>29,13</w:t>
      </w:r>
      <w:r>
        <w:rPr>
          <w:rFonts w:ascii="Times New Roman" w:hAnsi="Times New Roman" w:cs="Times New Roman"/>
          <w:sz w:val="24"/>
          <w:szCs w:val="24"/>
        </w:rPr>
        <w:t xml:space="preserve">% </w:t>
      </w:r>
      <w:r w:rsidR="00EC70CE">
        <w:rPr>
          <w:rFonts w:ascii="Times New Roman" w:hAnsi="Times New Roman" w:cs="Times New Roman"/>
          <w:sz w:val="24"/>
          <w:szCs w:val="24"/>
        </w:rPr>
        <w:t>или 15 420 149,09 рублей</w:t>
      </w:r>
      <w:r>
        <w:rPr>
          <w:rFonts w:ascii="Times New Roman" w:hAnsi="Times New Roman" w:cs="Times New Roman"/>
          <w:sz w:val="24"/>
          <w:szCs w:val="24"/>
        </w:rPr>
        <w:t xml:space="preserve"> в сравнении  с  уточненной редакцией</w:t>
      </w:r>
      <w:r w:rsidR="00F02489">
        <w:rPr>
          <w:rFonts w:ascii="Times New Roman" w:hAnsi="Times New Roman" w:cs="Times New Roman"/>
          <w:sz w:val="24"/>
          <w:szCs w:val="24"/>
        </w:rPr>
        <w:t>.</w:t>
      </w:r>
      <w:r>
        <w:rPr>
          <w:rFonts w:ascii="Times New Roman" w:hAnsi="Times New Roman" w:cs="Times New Roman"/>
          <w:sz w:val="24"/>
          <w:szCs w:val="24"/>
        </w:rPr>
        <w:t xml:space="preserve"> </w:t>
      </w:r>
      <w:r w:rsidR="00F02489">
        <w:rPr>
          <w:rFonts w:ascii="Times New Roman" w:hAnsi="Times New Roman" w:cs="Times New Roman"/>
          <w:sz w:val="24"/>
          <w:szCs w:val="24"/>
        </w:rPr>
        <w:t>П</w:t>
      </w:r>
      <w:r>
        <w:rPr>
          <w:rFonts w:ascii="Times New Roman" w:hAnsi="Times New Roman" w:cs="Times New Roman"/>
          <w:sz w:val="24"/>
          <w:szCs w:val="24"/>
        </w:rPr>
        <w:t xml:space="preserve">лановый период </w:t>
      </w:r>
      <w:r w:rsidR="00F02489">
        <w:rPr>
          <w:rFonts w:ascii="Times New Roman" w:hAnsi="Times New Roman" w:cs="Times New Roman"/>
          <w:sz w:val="24"/>
          <w:szCs w:val="24"/>
        </w:rPr>
        <w:t xml:space="preserve">2025 года </w:t>
      </w:r>
      <w:r>
        <w:rPr>
          <w:rFonts w:ascii="Times New Roman" w:hAnsi="Times New Roman" w:cs="Times New Roman"/>
          <w:sz w:val="24"/>
          <w:szCs w:val="24"/>
        </w:rPr>
        <w:t>спланирован</w:t>
      </w:r>
      <w:r w:rsidR="003637E9">
        <w:rPr>
          <w:rFonts w:ascii="Times New Roman" w:hAnsi="Times New Roman" w:cs="Times New Roman"/>
          <w:sz w:val="24"/>
          <w:szCs w:val="24"/>
        </w:rPr>
        <w:t xml:space="preserve"> в объеме ниже 202</w:t>
      </w:r>
      <w:r w:rsidR="00F02489">
        <w:rPr>
          <w:rFonts w:ascii="Times New Roman" w:hAnsi="Times New Roman" w:cs="Times New Roman"/>
          <w:sz w:val="24"/>
          <w:szCs w:val="24"/>
        </w:rPr>
        <w:t>4</w:t>
      </w:r>
      <w:r w:rsidR="003637E9">
        <w:rPr>
          <w:rFonts w:ascii="Times New Roman" w:hAnsi="Times New Roman" w:cs="Times New Roman"/>
          <w:sz w:val="24"/>
          <w:szCs w:val="24"/>
        </w:rPr>
        <w:t xml:space="preserve"> года на </w:t>
      </w:r>
      <w:r w:rsidR="00F02489">
        <w:rPr>
          <w:rFonts w:ascii="Times New Roman" w:hAnsi="Times New Roman" w:cs="Times New Roman"/>
          <w:sz w:val="24"/>
          <w:szCs w:val="24"/>
        </w:rPr>
        <w:t xml:space="preserve">14,62% </w:t>
      </w:r>
      <w:r w:rsidR="00F02489">
        <w:rPr>
          <w:rFonts w:ascii="Times New Roman" w:hAnsi="Times New Roman" w:cs="Times New Roman"/>
          <w:sz w:val="24"/>
          <w:szCs w:val="24"/>
        </w:rPr>
        <w:lastRenderedPageBreak/>
        <w:t>или 5 482 378,36 рублей</w:t>
      </w:r>
      <w:r>
        <w:rPr>
          <w:rFonts w:ascii="Times New Roman" w:hAnsi="Times New Roman" w:cs="Times New Roman"/>
          <w:sz w:val="24"/>
          <w:szCs w:val="24"/>
        </w:rPr>
        <w:t xml:space="preserve"> </w:t>
      </w:r>
      <w:r w:rsidR="00F02489">
        <w:rPr>
          <w:rFonts w:ascii="Times New Roman" w:hAnsi="Times New Roman" w:cs="Times New Roman"/>
          <w:sz w:val="24"/>
          <w:szCs w:val="24"/>
        </w:rPr>
        <w:t>и 2026</w:t>
      </w:r>
      <w:r>
        <w:rPr>
          <w:rFonts w:ascii="Times New Roman" w:hAnsi="Times New Roman" w:cs="Times New Roman"/>
          <w:sz w:val="24"/>
          <w:szCs w:val="24"/>
        </w:rPr>
        <w:t xml:space="preserve"> году </w:t>
      </w:r>
      <w:r w:rsidR="003637E9">
        <w:rPr>
          <w:rFonts w:ascii="Times New Roman" w:hAnsi="Times New Roman" w:cs="Times New Roman"/>
          <w:sz w:val="24"/>
          <w:szCs w:val="24"/>
        </w:rPr>
        <w:t>выш</w:t>
      </w:r>
      <w:r>
        <w:rPr>
          <w:rFonts w:ascii="Times New Roman" w:hAnsi="Times New Roman" w:cs="Times New Roman"/>
          <w:sz w:val="24"/>
          <w:szCs w:val="24"/>
        </w:rPr>
        <w:t xml:space="preserve">е на </w:t>
      </w:r>
      <w:r w:rsidR="00F02489">
        <w:rPr>
          <w:rFonts w:ascii="Times New Roman" w:hAnsi="Times New Roman" w:cs="Times New Roman"/>
          <w:sz w:val="24"/>
          <w:szCs w:val="24"/>
        </w:rPr>
        <w:t>4,05</w:t>
      </w:r>
      <w:r>
        <w:rPr>
          <w:rFonts w:ascii="Times New Roman" w:hAnsi="Times New Roman" w:cs="Times New Roman"/>
          <w:sz w:val="24"/>
          <w:szCs w:val="24"/>
        </w:rPr>
        <w:t xml:space="preserve">% </w:t>
      </w:r>
      <w:r w:rsidR="00EC70CE">
        <w:rPr>
          <w:rFonts w:ascii="Times New Roman" w:hAnsi="Times New Roman" w:cs="Times New Roman"/>
          <w:sz w:val="24"/>
          <w:szCs w:val="24"/>
        </w:rPr>
        <w:t xml:space="preserve">или 1 328 708,00 рублей </w:t>
      </w:r>
      <w:r>
        <w:rPr>
          <w:rFonts w:ascii="Times New Roman" w:hAnsi="Times New Roman" w:cs="Times New Roman"/>
          <w:sz w:val="24"/>
          <w:szCs w:val="24"/>
        </w:rPr>
        <w:t>относительно 202</w:t>
      </w:r>
      <w:r w:rsidR="00F02489">
        <w:rPr>
          <w:rFonts w:ascii="Times New Roman" w:hAnsi="Times New Roman" w:cs="Times New Roman"/>
          <w:sz w:val="24"/>
          <w:szCs w:val="24"/>
        </w:rPr>
        <w:t>5</w:t>
      </w:r>
      <w:r>
        <w:rPr>
          <w:rFonts w:ascii="Times New Roman" w:hAnsi="Times New Roman" w:cs="Times New Roman"/>
          <w:sz w:val="24"/>
          <w:szCs w:val="24"/>
        </w:rPr>
        <w:t xml:space="preserve"> года.</w:t>
      </w:r>
    </w:p>
    <w:p w:rsidR="00E01DAD"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расход</w:t>
      </w:r>
      <w:r w:rsidR="000F6299">
        <w:rPr>
          <w:rFonts w:ascii="Times New Roman" w:hAnsi="Times New Roman" w:cs="Times New Roman"/>
          <w:sz w:val="24"/>
          <w:szCs w:val="24"/>
        </w:rPr>
        <w:t>ов</w:t>
      </w:r>
      <w:r>
        <w:rPr>
          <w:rFonts w:ascii="Times New Roman" w:hAnsi="Times New Roman" w:cs="Times New Roman"/>
          <w:sz w:val="24"/>
          <w:szCs w:val="24"/>
        </w:rPr>
        <w:t xml:space="preserve"> не изменилась, как и </w:t>
      </w:r>
      <w:r w:rsidR="000F6299">
        <w:rPr>
          <w:rFonts w:ascii="Times New Roman" w:hAnsi="Times New Roman" w:cs="Times New Roman"/>
          <w:sz w:val="24"/>
          <w:szCs w:val="24"/>
        </w:rPr>
        <w:t>в первоначальной редакции бюджета</w:t>
      </w:r>
      <w:r>
        <w:rPr>
          <w:rFonts w:ascii="Times New Roman" w:hAnsi="Times New Roman" w:cs="Times New Roman"/>
          <w:sz w:val="24"/>
          <w:szCs w:val="24"/>
        </w:rPr>
        <w:t xml:space="preserve"> 202</w:t>
      </w:r>
      <w:r w:rsidR="000F6299">
        <w:rPr>
          <w:rFonts w:ascii="Times New Roman" w:hAnsi="Times New Roman" w:cs="Times New Roman"/>
          <w:sz w:val="24"/>
          <w:szCs w:val="24"/>
        </w:rPr>
        <w:t>3</w:t>
      </w:r>
      <w:r>
        <w:rPr>
          <w:rFonts w:ascii="Times New Roman" w:hAnsi="Times New Roman" w:cs="Times New Roman"/>
          <w:sz w:val="24"/>
          <w:szCs w:val="24"/>
        </w:rPr>
        <w:t xml:space="preserve"> году наибольший удельный (более </w:t>
      </w:r>
      <w:r w:rsidR="000F6299">
        <w:rPr>
          <w:rFonts w:ascii="Times New Roman" w:hAnsi="Times New Roman" w:cs="Times New Roman"/>
          <w:sz w:val="24"/>
          <w:szCs w:val="24"/>
        </w:rPr>
        <w:t>58</w:t>
      </w:r>
      <w:r>
        <w:rPr>
          <w:rFonts w:ascii="Times New Roman" w:hAnsi="Times New Roman" w:cs="Times New Roman"/>
          <w:sz w:val="24"/>
          <w:szCs w:val="24"/>
        </w:rPr>
        <w:t xml:space="preserve">%) в общей структуре расходов в очередном финансовом году и плановом периоде занимают Общегосударственные расходы.  </w:t>
      </w:r>
      <w:r w:rsidR="000F6299">
        <w:rPr>
          <w:rFonts w:ascii="Times New Roman" w:hAnsi="Times New Roman" w:cs="Times New Roman"/>
          <w:sz w:val="24"/>
          <w:szCs w:val="24"/>
        </w:rPr>
        <w:t>Социально-культурная сфера в расходной части бюджета в 2024 году занимает 2,20%.</w:t>
      </w:r>
    </w:p>
    <w:p w:rsidR="002E3F58" w:rsidRDefault="00E01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Бюджетные ассигнования по разделу </w:t>
      </w:r>
      <w:r w:rsidRPr="00633496">
        <w:rPr>
          <w:rFonts w:ascii="Times New Roman" w:hAnsi="Times New Roman" w:cs="Times New Roman"/>
          <w:b/>
          <w:sz w:val="24"/>
          <w:szCs w:val="24"/>
        </w:rPr>
        <w:t>«Общегосударственные вопросы»</w:t>
      </w:r>
      <w:r>
        <w:rPr>
          <w:rFonts w:ascii="Times New Roman" w:hAnsi="Times New Roman" w:cs="Times New Roman"/>
          <w:sz w:val="24"/>
          <w:szCs w:val="24"/>
        </w:rPr>
        <w:t xml:space="preserve"> запланированы </w:t>
      </w:r>
      <w:r w:rsidR="002E3F58">
        <w:rPr>
          <w:rFonts w:ascii="Times New Roman" w:hAnsi="Times New Roman" w:cs="Times New Roman"/>
          <w:sz w:val="24"/>
          <w:szCs w:val="24"/>
        </w:rPr>
        <w:t>в объеме 22 000 996,05 рублей, с ростом к бюджету 2023 года в первоначальной и уточненной редакции на 15,12% и 17,32%</w:t>
      </w:r>
      <w:r w:rsidR="00633496">
        <w:rPr>
          <w:rFonts w:ascii="Times New Roman" w:hAnsi="Times New Roman" w:cs="Times New Roman"/>
          <w:sz w:val="24"/>
          <w:szCs w:val="24"/>
        </w:rPr>
        <w:t xml:space="preserve"> соответственно</w:t>
      </w:r>
      <w:r w:rsidR="002E3F58">
        <w:rPr>
          <w:rFonts w:ascii="Times New Roman" w:hAnsi="Times New Roman" w:cs="Times New Roman"/>
          <w:sz w:val="24"/>
          <w:szCs w:val="24"/>
        </w:rPr>
        <w:t>,</w:t>
      </w:r>
      <w:r w:rsidR="00633496">
        <w:rPr>
          <w:rFonts w:ascii="Times New Roman" w:hAnsi="Times New Roman" w:cs="Times New Roman"/>
          <w:sz w:val="24"/>
          <w:szCs w:val="24"/>
        </w:rPr>
        <w:t xml:space="preserve"> </w:t>
      </w:r>
      <w:r w:rsidR="002E3F58">
        <w:rPr>
          <w:rFonts w:ascii="Times New Roman" w:hAnsi="Times New Roman" w:cs="Times New Roman"/>
          <w:sz w:val="24"/>
          <w:szCs w:val="24"/>
        </w:rPr>
        <w:t xml:space="preserve">в общей структуре расходной части бюджета </w:t>
      </w:r>
      <w:r w:rsidR="00633496">
        <w:rPr>
          <w:rFonts w:ascii="Times New Roman" w:hAnsi="Times New Roman" w:cs="Times New Roman"/>
          <w:sz w:val="24"/>
          <w:szCs w:val="24"/>
        </w:rPr>
        <w:t xml:space="preserve">данный раздел </w:t>
      </w:r>
      <w:r w:rsidR="002E3F58">
        <w:rPr>
          <w:rFonts w:ascii="Times New Roman" w:hAnsi="Times New Roman" w:cs="Times New Roman"/>
          <w:sz w:val="24"/>
          <w:szCs w:val="24"/>
        </w:rPr>
        <w:t>занимает 58,66%. В плановом периоде 2025 году бюджетные ассигнования по данному разделу запланированы с ростом к 2024 году на 0,11% и в 2026 году с ростом на 0,06%.</w:t>
      </w:r>
    </w:p>
    <w:p w:rsidR="007039C9" w:rsidRDefault="002E3F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Данным разделом учт</w:t>
      </w:r>
      <w:r w:rsidR="00633496">
        <w:rPr>
          <w:rFonts w:ascii="Times New Roman" w:hAnsi="Times New Roman" w:cs="Times New Roman"/>
          <w:sz w:val="24"/>
          <w:szCs w:val="24"/>
        </w:rPr>
        <w:t>ены</w:t>
      </w:r>
      <w:r>
        <w:rPr>
          <w:rFonts w:ascii="Times New Roman" w:hAnsi="Times New Roman" w:cs="Times New Roman"/>
          <w:sz w:val="24"/>
          <w:szCs w:val="24"/>
        </w:rPr>
        <w:t xml:space="preserve"> расходы</w:t>
      </w:r>
      <w:r w:rsidR="00E01DAD">
        <w:rPr>
          <w:rFonts w:ascii="Times New Roman" w:hAnsi="Times New Roman" w:cs="Times New Roman"/>
          <w:sz w:val="24"/>
          <w:szCs w:val="24"/>
        </w:rPr>
        <w:t xml:space="preserve"> на осуществление полномочий высшего должностного лица муниципального образования. На 2024 год расходные обязательства запланированы с ростом к первоначальной редакции бюджета 2023 года на 57,30% или </w:t>
      </w:r>
      <w:r w:rsidR="006963DC">
        <w:rPr>
          <w:rFonts w:ascii="Times New Roman" w:hAnsi="Times New Roman" w:cs="Times New Roman"/>
          <w:sz w:val="24"/>
          <w:szCs w:val="24"/>
        </w:rPr>
        <w:t>877 512,95 рублей</w:t>
      </w:r>
      <w:r w:rsidR="00E01DAD">
        <w:rPr>
          <w:rFonts w:ascii="Times New Roman" w:hAnsi="Times New Roman" w:cs="Times New Roman"/>
          <w:sz w:val="24"/>
          <w:szCs w:val="24"/>
        </w:rPr>
        <w:t>, к уточненной редакции на 22,19% или 437 512,95 рублей</w:t>
      </w:r>
      <w:r w:rsidR="006963DC">
        <w:rPr>
          <w:rFonts w:ascii="Times New Roman" w:hAnsi="Times New Roman" w:cs="Times New Roman"/>
          <w:sz w:val="24"/>
          <w:szCs w:val="24"/>
        </w:rPr>
        <w:t xml:space="preserve">. В плановый период 2025 и 2026 годов </w:t>
      </w:r>
      <w:r w:rsidR="00E01DAD">
        <w:rPr>
          <w:rFonts w:ascii="Times New Roman" w:hAnsi="Times New Roman" w:cs="Times New Roman"/>
          <w:sz w:val="24"/>
          <w:szCs w:val="24"/>
        </w:rPr>
        <w:t xml:space="preserve"> </w:t>
      </w:r>
      <w:r w:rsidR="006963DC">
        <w:rPr>
          <w:rFonts w:ascii="Times New Roman" w:hAnsi="Times New Roman" w:cs="Times New Roman"/>
          <w:sz w:val="24"/>
          <w:szCs w:val="24"/>
        </w:rPr>
        <w:t>бюджетные ассигнования установлены на уровне 2024 года.</w:t>
      </w:r>
    </w:p>
    <w:p w:rsidR="00633496" w:rsidRDefault="006963DC" w:rsidP="00BD37E5">
      <w:pPr>
        <w:pStyle w:val="western"/>
        <w:spacing w:beforeAutospacing="0" w:after="0"/>
        <w:ind w:firstLine="709"/>
        <w:jc w:val="both"/>
        <w:rPr>
          <w:sz w:val="24"/>
          <w:szCs w:val="24"/>
        </w:rPr>
      </w:pPr>
      <w:r w:rsidRPr="00BD37E5">
        <w:rPr>
          <w:sz w:val="24"/>
          <w:szCs w:val="24"/>
        </w:rPr>
        <w:t>По данному разделу включены расходы на функционирование законодательных (представительных) органов муниципального образования</w:t>
      </w:r>
      <w:r w:rsidR="002E3F58">
        <w:rPr>
          <w:sz w:val="24"/>
          <w:szCs w:val="24"/>
        </w:rPr>
        <w:t xml:space="preserve"> в объеме 25 000,00 рублей</w:t>
      </w:r>
      <w:r w:rsidRPr="00BD37E5">
        <w:rPr>
          <w:sz w:val="24"/>
          <w:szCs w:val="24"/>
        </w:rPr>
        <w:t>,</w:t>
      </w:r>
      <w:r w:rsidR="002E3F58">
        <w:rPr>
          <w:sz w:val="24"/>
          <w:szCs w:val="24"/>
        </w:rPr>
        <w:t xml:space="preserve"> что превышает уточненный бюджет 2023 года на 13,64%, расходы планового периода сплан</w:t>
      </w:r>
      <w:r w:rsidR="002E3F58">
        <w:rPr>
          <w:sz w:val="24"/>
          <w:szCs w:val="24"/>
        </w:rPr>
        <w:t>и</w:t>
      </w:r>
      <w:r w:rsidR="00633496">
        <w:rPr>
          <w:sz w:val="24"/>
          <w:szCs w:val="24"/>
        </w:rPr>
        <w:t xml:space="preserve">рованы на уровне 2024 года, на </w:t>
      </w:r>
      <w:r w:rsidRPr="00BD37E5">
        <w:rPr>
          <w:sz w:val="24"/>
          <w:szCs w:val="24"/>
        </w:rPr>
        <w:t>содержание аппарата м</w:t>
      </w:r>
      <w:r w:rsidRPr="00BD37E5">
        <w:rPr>
          <w:sz w:val="24"/>
          <w:szCs w:val="24"/>
        </w:rPr>
        <w:t>е</w:t>
      </w:r>
      <w:r w:rsidRPr="00BD37E5">
        <w:rPr>
          <w:sz w:val="24"/>
          <w:szCs w:val="24"/>
        </w:rPr>
        <w:t>стной администрации</w:t>
      </w:r>
      <w:r w:rsidR="00633496">
        <w:rPr>
          <w:sz w:val="24"/>
          <w:szCs w:val="24"/>
        </w:rPr>
        <w:t xml:space="preserve"> а 2024 году проектом решения установлен объем в сумме 4 435 621,59 рублей, что превышает объема отраженного уточненной редакцией бюджета поселения на 2024 год на 19,05%, плановый период 2025 и 2026 годов запланирован в объеме 2024 года.</w:t>
      </w:r>
    </w:p>
    <w:p w:rsidR="00633496" w:rsidRDefault="00633496" w:rsidP="0063349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целях финансового</w:t>
      </w:r>
      <w:r>
        <w:rPr>
          <w:rFonts w:ascii="Times New Roman" w:hAnsi="Times New Roman" w:cs="Times New Roman"/>
          <w:sz w:val="24"/>
          <w:szCs w:val="24"/>
        </w:rPr>
        <w:t xml:space="preserve"> обеспечения непредвиденных расходов по подразделу "Резервные фонды" предусматривается формирование резервного фонда администрации Полтавского городского поселения Полтавского муниципального района в объеме 40 000,00 рублей в 2024 году и плановом периоде 2025 и 2026 годах соответственно 42 000,00 рублей , 44 100,00 рублей.</w:t>
      </w:r>
    </w:p>
    <w:p w:rsidR="00BD37E5" w:rsidRPr="009A2300" w:rsidRDefault="00BD37E5" w:rsidP="00BD37E5">
      <w:pPr>
        <w:pStyle w:val="western"/>
        <w:spacing w:beforeAutospacing="0" w:after="0"/>
        <w:ind w:firstLine="709"/>
        <w:jc w:val="both"/>
        <w:rPr>
          <w:sz w:val="24"/>
          <w:szCs w:val="24"/>
        </w:rPr>
      </w:pPr>
      <w:r w:rsidRPr="00BD37E5">
        <w:rPr>
          <w:sz w:val="24"/>
          <w:szCs w:val="24"/>
        </w:rPr>
        <w:t>В подразделе "Другие общегосударственные вопросы" отражены расходы</w:t>
      </w:r>
      <w:r w:rsidR="00633496">
        <w:rPr>
          <w:sz w:val="24"/>
          <w:szCs w:val="24"/>
        </w:rPr>
        <w:t xml:space="preserve"> в объеме 15 091 496,05 рублей на 2024 год, с положительной динамикой к уровню 2023 года в уточненной редакции на 15,79%, в плановом периоде 2025 и 2026 годов также спланир</w:t>
      </w:r>
      <w:r w:rsidR="00633496">
        <w:rPr>
          <w:sz w:val="24"/>
          <w:szCs w:val="24"/>
        </w:rPr>
        <w:t>о</w:t>
      </w:r>
      <w:r w:rsidR="00633496">
        <w:rPr>
          <w:sz w:val="24"/>
          <w:szCs w:val="24"/>
        </w:rPr>
        <w:t>ван рост расходов на 0,014 и 0,07% соответственно.</w:t>
      </w:r>
      <w:r w:rsidR="00D56EDE">
        <w:rPr>
          <w:sz w:val="24"/>
          <w:szCs w:val="24"/>
        </w:rPr>
        <w:t xml:space="preserve"> </w:t>
      </w:r>
      <w:r w:rsidR="00633496">
        <w:rPr>
          <w:sz w:val="24"/>
          <w:szCs w:val="24"/>
        </w:rPr>
        <w:t>П</w:t>
      </w:r>
      <w:r w:rsidRPr="00BD37E5">
        <w:rPr>
          <w:sz w:val="24"/>
          <w:szCs w:val="24"/>
        </w:rPr>
        <w:t>о подпрограмме "Повышение э</w:t>
      </w:r>
      <w:r w:rsidRPr="00BD37E5">
        <w:rPr>
          <w:sz w:val="24"/>
          <w:szCs w:val="24"/>
        </w:rPr>
        <w:t>ф</w:t>
      </w:r>
      <w:r w:rsidRPr="00BD37E5">
        <w:rPr>
          <w:sz w:val="24"/>
          <w:szCs w:val="24"/>
        </w:rPr>
        <w:t>фективности деятельности Администрации Полтавского городского пос</w:t>
      </w:r>
      <w:r w:rsidRPr="00BD37E5">
        <w:rPr>
          <w:sz w:val="24"/>
          <w:szCs w:val="24"/>
        </w:rPr>
        <w:t>е</w:t>
      </w:r>
      <w:r w:rsidRPr="00BD37E5">
        <w:rPr>
          <w:sz w:val="24"/>
          <w:szCs w:val="24"/>
        </w:rPr>
        <w:t>ления". В рамках данной подпрограммы предусмотрены расходы на обеспечение деятельности подведомс</w:t>
      </w:r>
      <w:r w:rsidRPr="00BD37E5">
        <w:rPr>
          <w:sz w:val="24"/>
          <w:szCs w:val="24"/>
        </w:rPr>
        <w:t>т</w:t>
      </w:r>
      <w:r w:rsidRPr="00BD37E5">
        <w:rPr>
          <w:sz w:val="24"/>
          <w:szCs w:val="24"/>
        </w:rPr>
        <w:t>венного учреждения МКУ «Полтавская казна»</w:t>
      </w:r>
      <w:r w:rsidR="009A2300">
        <w:rPr>
          <w:sz w:val="24"/>
          <w:szCs w:val="24"/>
        </w:rPr>
        <w:t>,</w:t>
      </w:r>
      <w:r w:rsidR="009A2300" w:rsidRPr="009A2300">
        <w:rPr>
          <w:sz w:val="24"/>
          <w:szCs w:val="24"/>
        </w:rPr>
        <w:t xml:space="preserve"> </w:t>
      </w:r>
      <w:r w:rsidR="009A2300">
        <w:rPr>
          <w:sz w:val="24"/>
          <w:szCs w:val="24"/>
        </w:rPr>
        <w:t>на о</w:t>
      </w:r>
      <w:r w:rsidR="009A2300" w:rsidRPr="009A2300">
        <w:rPr>
          <w:sz w:val="24"/>
          <w:szCs w:val="24"/>
        </w:rPr>
        <w:t>формление технич</w:t>
      </w:r>
      <w:r w:rsidR="009A2300" w:rsidRPr="009A2300">
        <w:rPr>
          <w:sz w:val="24"/>
          <w:szCs w:val="24"/>
        </w:rPr>
        <w:t>е</w:t>
      </w:r>
      <w:r w:rsidR="009A2300" w:rsidRPr="009A2300">
        <w:rPr>
          <w:sz w:val="24"/>
          <w:szCs w:val="24"/>
        </w:rPr>
        <w:t>ской документации на объекты недвижимости</w:t>
      </w:r>
      <w:r w:rsidR="009A2300">
        <w:rPr>
          <w:sz w:val="24"/>
          <w:szCs w:val="24"/>
        </w:rPr>
        <w:t>,</w:t>
      </w:r>
      <w:r w:rsidR="009A2300" w:rsidRPr="009A2300">
        <w:rPr>
          <w:sz w:val="20"/>
          <w:szCs w:val="20"/>
        </w:rPr>
        <w:t xml:space="preserve"> </w:t>
      </w:r>
      <w:r w:rsidR="009A2300" w:rsidRPr="009A2300">
        <w:rPr>
          <w:sz w:val="24"/>
          <w:szCs w:val="24"/>
        </w:rPr>
        <w:t>взыскание судебных расходов</w:t>
      </w:r>
      <w:r w:rsidR="009A2300">
        <w:rPr>
          <w:sz w:val="24"/>
          <w:szCs w:val="24"/>
        </w:rPr>
        <w:t xml:space="preserve">, </w:t>
      </w:r>
      <w:r w:rsidR="009A2300" w:rsidRPr="009A2300">
        <w:rPr>
          <w:sz w:val="24"/>
          <w:szCs w:val="24"/>
        </w:rPr>
        <w:t>уплат</w:t>
      </w:r>
      <w:r w:rsidR="009A2300">
        <w:rPr>
          <w:sz w:val="24"/>
          <w:szCs w:val="24"/>
        </w:rPr>
        <w:t>у</w:t>
      </w:r>
      <w:r w:rsidR="009A2300" w:rsidRPr="009A2300">
        <w:rPr>
          <w:sz w:val="24"/>
          <w:szCs w:val="24"/>
        </w:rPr>
        <w:t xml:space="preserve"> еж</w:t>
      </w:r>
      <w:r w:rsidR="009A2300" w:rsidRPr="009A2300">
        <w:rPr>
          <w:sz w:val="24"/>
          <w:szCs w:val="24"/>
        </w:rPr>
        <w:t>е</w:t>
      </w:r>
      <w:r w:rsidR="009A2300" w:rsidRPr="009A2300">
        <w:rPr>
          <w:sz w:val="24"/>
          <w:szCs w:val="24"/>
        </w:rPr>
        <w:t>годного членского взноса</w:t>
      </w:r>
      <w:r w:rsidRPr="009A2300">
        <w:rPr>
          <w:sz w:val="24"/>
          <w:szCs w:val="24"/>
        </w:rPr>
        <w:t>.</w:t>
      </w:r>
      <w:r w:rsidR="008F72DC">
        <w:rPr>
          <w:sz w:val="24"/>
          <w:szCs w:val="24"/>
        </w:rPr>
        <w:t xml:space="preserve"> В рамках муниципальной программы «Развитие социально-культурных меропри</w:t>
      </w:r>
      <w:r w:rsidR="008F72DC">
        <w:rPr>
          <w:sz w:val="24"/>
          <w:szCs w:val="24"/>
        </w:rPr>
        <w:t>я</w:t>
      </w:r>
      <w:r w:rsidR="008F72DC">
        <w:rPr>
          <w:sz w:val="24"/>
          <w:szCs w:val="24"/>
        </w:rPr>
        <w:t>тий Полтавского городского поселения» учтены расходы на выплаты жителям р.п.</w:t>
      </w:r>
      <w:r w:rsidR="00D56EDE">
        <w:rPr>
          <w:sz w:val="24"/>
          <w:szCs w:val="24"/>
        </w:rPr>
        <w:t xml:space="preserve"> </w:t>
      </w:r>
      <w:r w:rsidR="008F72DC">
        <w:rPr>
          <w:sz w:val="24"/>
          <w:szCs w:val="24"/>
        </w:rPr>
        <w:t>По</w:t>
      </w:r>
      <w:r w:rsidR="008F72DC">
        <w:rPr>
          <w:sz w:val="24"/>
          <w:szCs w:val="24"/>
        </w:rPr>
        <w:t>л</w:t>
      </w:r>
      <w:r w:rsidR="008F72DC">
        <w:rPr>
          <w:sz w:val="24"/>
          <w:szCs w:val="24"/>
        </w:rPr>
        <w:t>тавка имеющим звание «Почетный житель» в сумме 84 000,00 рублей на очередной ф</w:t>
      </w:r>
      <w:r w:rsidR="008F72DC">
        <w:rPr>
          <w:sz w:val="24"/>
          <w:szCs w:val="24"/>
        </w:rPr>
        <w:t>и</w:t>
      </w:r>
      <w:r w:rsidR="008F72DC">
        <w:rPr>
          <w:sz w:val="24"/>
          <w:szCs w:val="24"/>
        </w:rPr>
        <w:t>нансовый 2024 год и плановый период 2025 и 2026 г</w:t>
      </w:r>
      <w:r w:rsidR="008F72DC">
        <w:rPr>
          <w:sz w:val="24"/>
          <w:szCs w:val="24"/>
        </w:rPr>
        <w:t>о</w:t>
      </w:r>
      <w:r w:rsidR="008F72DC">
        <w:rPr>
          <w:sz w:val="24"/>
          <w:szCs w:val="24"/>
        </w:rPr>
        <w:t>дов.</w:t>
      </w:r>
      <w:r w:rsidR="00EC509D">
        <w:rPr>
          <w:sz w:val="24"/>
          <w:szCs w:val="24"/>
        </w:rPr>
        <w:t xml:space="preserve"> </w:t>
      </w:r>
    </w:p>
    <w:p w:rsidR="006963DC" w:rsidRDefault="00D56ED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Бюджетные ассигнования по разделу </w:t>
      </w:r>
      <w:r w:rsidRPr="00D56EDE">
        <w:rPr>
          <w:rFonts w:ascii="Times New Roman" w:hAnsi="Times New Roman" w:cs="Times New Roman"/>
          <w:b/>
          <w:sz w:val="24"/>
          <w:szCs w:val="24"/>
        </w:rPr>
        <w:t>«Национальная безопасность и правоохранительная деятельность»</w:t>
      </w:r>
      <w:r>
        <w:rPr>
          <w:rFonts w:ascii="Times New Roman" w:hAnsi="Times New Roman" w:cs="Times New Roman"/>
          <w:sz w:val="24"/>
          <w:szCs w:val="24"/>
        </w:rPr>
        <w:t xml:space="preserve"> в 2024 году предусматривает объем в сумме 438 000,00 рублей, что превышает значения первоначальной редакции утвержденного бюджета  2023года в 2 раза и уточненного бюджета на 0,93%, на плановый период предусмотрен объем в сумме 388 000,00 рублей ежегодно. Данные средства предусмотрены в рамках </w:t>
      </w:r>
      <w:r w:rsidRPr="00D56EDE">
        <w:rPr>
          <w:rFonts w:ascii="Times New Roman" w:hAnsi="Times New Roman" w:cs="Times New Roman"/>
          <w:color w:val="000000"/>
          <w:sz w:val="24"/>
          <w:szCs w:val="24"/>
        </w:rPr>
        <w:t>Муниципальная программа Полтавского городского поселения «Развитие социально-культурных мероприятий Полтавского городского поселения»</w:t>
      </w:r>
      <w:r>
        <w:rPr>
          <w:rFonts w:ascii="Times New Roman" w:hAnsi="Times New Roman" w:cs="Times New Roman"/>
          <w:color w:val="000000"/>
          <w:sz w:val="24"/>
          <w:szCs w:val="24"/>
        </w:rPr>
        <w:t xml:space="preserve"> на и</w:t>
      </w:r>
      <w:r w:rsidRPr="00D56EDE">
        <w:rPr>
          <w:rFonts w:ascii="Times New Roman" w:hAnsi="Times New Roman" w:cs="Times New Roman"/>
          <w:color w:val="000000"/>
          <w:sz w:val="24"/>
          <w:szCs w:val="24"/>
        </w:rPr>
        <w:t>нформационные мероприятия, проверк</w:t>
      </w:r>
      <w:r>
        <w:rPr>
          <w:rFonts w:ascii="Times New Roman" w:hAnsi="Times New Roman" w:cs="Times New Roman"/>
          <w:color w:val="000000"/>
          <w:sz w:val="24"/>
          <w:szCs w:val="24"/>
        </w:rPr>
        <w:t>у</w:t>
      </w:r>
      <w:r w:rsidRPr="00D56EDE">
        <w:rPr>
          <w:rFonts w:ascii="Times New Roman" w:hAnsi="Times New Roman" w:cs="Times New Roman"/>
          <w:color w:val="000000"/>
          <w:sz w:val="24"/>
          <w:szCs w:val="24"/>
        </w:rPr>
        <w:t xml:space="preserve"> систем оповещения и другие мероприятия по предупреждению чрезвычайных ситуаций</w:t>
      </w:r>
      <w:r>
        <w:rPr>
          <w:rFonts w:ascii="Times New Roman" w:hAnsi="Times New Roman" w:cs="Times New Roman"/>
          <w:color w:val="000000"/>
          <w:sz w:val="24"/>
          <w:szCs w:val="24"/>
        </w:rPr>
        <w:t xml:space="preserve"> в сумме 15 000,00 рублей ежегодно; на </w:t>
      </w:r>
      <w:r w:rsidRPr="00D56EDE">
        <w:rPr>
          <w:rFonts w:ascii="Times New Roman" w:hAnsi="Times New Roman" w:cs="Times New Roman"/>
          <w:color w:val="000000"/>
          <w:sz w:val="24"/>
          <w:szCs w:val="24"/>
        </w:rPr>
        <w:t>укрепление материально-технической базы и социальная защита населения Полтавского городского населения от пожаров и ЧС</w:t>
      </w:r>
      <w:r>
        <w:rPr>
          <w:rFonts w:ascii="Times New Roman" w:hAnsi="Times New Roman" w:cs="Times New Roman"/>
          <w:color w:val="000000"/>
          <w:sz w:val="24"/>
          <w:szCs w:val="24"/>
        </w:rPr>
        <w:t xml:space="preserve"> в сумме 420 000,00 рублей на 2024 год, и </w:t>
      </w:r>
      <w:r>
        <w:rPr>
          <w:rFonts w:ascii="Times New Roman" w:hAnsi="Times New Roman" w:cs="Times New Roman"/>
          <w:color w:val="000000"/>
          <w:sz w:val="24"/>
          <w:szCs w:val="24"/>
        </w:rPr>
        <w:lastRenderedPageBreak/>
        <w:t>плановый период в сумме 370 000,00 рублей ежегодно</w:t>
      </w:r>
      <w:r w:rsidR="00D66D0A">
        <w:rPr>
          <w:rFonts w:ascii="Times New Roman" w:hAnsi="Times New Roman" w:cs="Times New Roman"/>
          <w:color w:val="000000"/>
          <w:sz w:val="24"/>
          <w:szCs w:val="24"/>
        </w:rPr>
        <w:t xml:space="preserve">, </w:t>
      </w:r>
      <w:r w:rsidR="00D66D0A" w:rsidRPr="00D66D0A">
        <w:rPr>
          <w:rFonts w:ascii="Times New Roman" w:hAnsi="Times New Roman" w:cs="Times New Roman"/>
          <w:color w:val="000000"/>
          <w:sz w:val="24"/>
          <w:szCs w:val="24"/>
        </w:rPr>
        <w:t>на проведение информационного обеспечения, взаимодействие с надзорными органами</w:t>
      </w:r>
      <w:r w:rsidR="00D66D0A">
        <w:rPr>
          <w:rFonts w:ascii="Times New Roman" w:hAnsi="Times New Roman" w:cs="Times New Roman"/>
          <w:color w:val="000000"/>
          <w:sz w:val="24"/>
          <w:szCs w:val="24"/>
        </w:rPr>
        <w:t xml:space="preserve"> в сумме 3 000,00 рублей ежегодно.</w:t>
      </w:r>
    </w:p>
    <w:p w:rsidR="00D66D0A" w:rsidRDefault="00D66D0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разделу «Национальная экономика» учтены расходы в сумме 6 939 043,00 рублей, что превышает бюджетные ассигнования первоначальной редакции местного бюджета на 42,99% и ниже значений уточненной редакции бюджета на 44,37%. В плановом периоде 2025 года запланирован объем 4 003 534,00 рублей, со снижением к значениям 2024 года на 42,30% и с ростом в 2026 году на 31,81% к значениям 2025 года.</w:t>
      </w:r>
    </w:p>
    <w:p w:rsidR="00D66D0A" w:rsidRPr="00D66D0A" w:rsidRDefault="00D66D0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По подразделу «Общеэкономические вопросы» запланированы средства в рамках подпрограммы </w:t>
      </w:r>
      <w:r w:rsidRPr="00D66D0A">
        <w:rPr>
          <w:rFonts w:ascii="Times New Roman" w:hAnsi="Times New Roman" w:cs="Times New Roman"/>
          <w:color w:val="000000"/>
          <w:sz w:val="24"/>
          <w:szCs w:val="24"/>
        </w:rPr>
        <w:t>«Содействие занятости населения Полтавского городского поселения»</w:t>
      </w:r>
      <w:r>
        <w:rPr>
          <w:rFonts w:ascii="Times New Roman" w:hAnsi="Times New Roman" w:cs="Times New Roman"/>
          <w:color w:val="000000"/>
          <w:sz w:val="24"/>
          <w:szCs w:val="24"/>
        </w:rPr>
        <w:t xml:space="preserve"> для </w:t>
      </w:r>
      <w:r w:rsidRPr="00D66D0A">
        <w:rPr>
          <w:rFonts w:ascii="Times New Roman" w:hAnsi="Times New Roman" w:cs="Times New Roman"/>
          <w:color w:val="000000"/>
          <w:sz w:val="24"/>
          <w:szCs w:val="24"/>
        </w:rPr>
        <w:t>участия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w:t>
      </w:r>
      <w:r>
        <w:rPr>
          <w:rFonts w:ascii="Times New Roman" w:hAnsi="Times New Roman" w:cs="Times New Roman"/>
          <w:color w:val="000000"/>
          <w:sz w:val="24"/>
          <w:szCs w:val="24"/>
        </w:rPr>
        <w:t xml:space="preserve"> в сумме150 000,00 рублей в 2024 году и годах планового периода. </w:t>
      </w:r>
    </w:p>
    <w:p w:rsidR="00D66D0A" w:rsidRDefault="00D66D0A" w:rsidP="00D66D0A">
      <w:pPr>
        <w:spacing w:after="0" w:line="240" w:lineRule="auto"/>
        <w:ind w:firstLine="709"/>
        <w:jc w:val="both"/>
        <w:outlineLvl w:val="1"/>
        <w:rPr>
          <w:rFonts w:ascii="Times New Roman" w:hAnsi="Times New Roman" w:cs="Times New Roman"/>
          <w:sz w:val="24"/>
          <w:szCs w:val="24"/>
          <w:u w:color="FF0000"/>
        </w:rPr>
      </w:pPr>
      <w:bookmarkStart w:id="16" w:name="OLE_LINK20"/>
      <w:bookmarkStart w:id="17" w:name="OLE_LINK19"/>
      <w:r>
        <w:rPr>
          <w:rFonts w:ascii="Times New Roman" w:hAnsi="Times New Roman" w:cs="Times New Roman"/>
          <w:sz w:val="24"/>
          <w:szCs w:val="24"/>
          <w:u w:color="FF0000"/>
        </w:rPr>
        <w:t>Одним из основных направлений бюджетной политики Полтавского городского поселения на 2024-2026 годы является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w:t>
      </w:r>
    </w:p>
    <w:p w:rsidR="00D66D0A" w:rsidRDefault="00D66D0A" w:rsidP="00B314A0">
      <w:pPr>
        <w:pStyle w:val="aa"/>
        <w:ind w:firstLine="709"/>
        <w:jc w:val="both"/>
        <w:rPr>
          <w:sz w:val="24"/>
          <w:szCs w:val="24"/>
          <w:u w:color="FF0000"/>
        </w:rPr>
      </w:pPr>
      <w:r>
        <w:rPr>
          <w:sz w:val="24"/>
          <w:szCs w:val="24"/>
          <w:u w:color="FF0000"/>
        </w:rPr>
        <w:t xml:space="preserve">В проекте </w:t>
      </w:r>
      <w:r w:rsidR="00B314A0">
        <w:rPr>
          <w:sz w:val="24"/>
          <w:szCs w:val="24"/>
          <w:u w:color="FF0000"/>
        </w:rPr>
        <w:t>местного</w:t>
      </w:r>
      <w:r>
        <w:rPr>
          <w:sz w:val="24"/>
          <w:szCs w:val="24"/>
          <w:u w:color="FF0000"/>
        </w:rPr>
        <w:t xml:space="preserve"> бюджета расходы на финансирование дорожного фонда Полтавского </w:t>
      </w:r>
      <w:r w:rsidR="00B314A0">
        <w:rPr>
          <w:sz w:val="24"/>
          <w:szCs w:val="24"/>
          <w:u w:color="FF0000"/>
        </w:rPr>
        <w:t>городского поселения</w:t>
      </w:r>
      <w:r>
        <w:rPr>
          <w:sz w:val="24"/>
          <w:szCs w:val="24"/>
          <w:u w:color="FF0000"/>
        </w:rPr>
        <w:t xml:space="preserve"> сформированы на 2024 год в объеме </w:t>
      </w:r>
      <w:r w:rsidR="00B314A0">
        <w:rPr>
          <w:sz w:val="24"/>
          <w:szCs w:val="24"/>
          <w:u w:color="FF0000"/>
        </w:rPr>
        <w:t>6 589 043,00</w:t>
      </w:r>
      <w:r>
        <w:rPr>
          <w:sz w:val="24"/>
          <w:szCs w:val="24"/>
          <w:u w:color="FF0000"/>
        </w:rPr>
        <w:t xml:space="preserve"> рублей</w:t>
      </w:r>
      <w:r w:rsidR="00B314A0">
        <w:rPr>
          <w:sz w:val="24"/>
          <w:szCs w:val="24"/>
          <w:u w:color="FF0000"/>
        </w:rPr>
        <w:t xml:space="preserve"> с превышением значений первоначальной редакции бюджета 2023 года на 55,53% и со снижением к объему значений отраженных в уточненной редакции бюджета на 45,67%</w:t>
      </w:r>
      <w:r>
        <w:rPr>
          <w:sz w:val="24"/>
          <w:szCs w:val="24"/>
          <w:u w:color="FF0000"/>
        </w:rPr>
        <w:t xml:space="preserve">, на </w:t>
      </w:r>
      <w:r w:rsidR="00B314A0">
        <w:rPr>
          <w:sz w:val="24"/>
          <w:szCs w:val="24"/>
          <w:u w:color="FF0000"/>
        </w:rPr>
        <w:t xml:space="preserve">плановый период </w:t>
      </w:r>
      <w:r>
        <w:rPr>
          <w:sz w:val="24"/>
          <w:szCs w:val="24"/>
          <w:u w:color="FF0000"/>
        </w:rPr>
        <w:t>2025 год</w:t>
      </w:r>
      <w:r w:rsidR="00B314A0">
        <w:rPr>
          <w:sz w:val="24"/>
          <w:szCs w:val="24"/>
          <w:u w:color="FF0000"/>
        </w:rPr>
        <w:t>а</w:t>
      </w:r>
      <w:r>
        <w:rPr>
          <w:sz w:val="24"/>
          <w:szCs w:val="24"/>
          <w:u w:color="FF0000"/>
        </w:rPr>
        <w:t xml:space="preserve"> в сумме </w:t>
      </w:r>
      <w:r w:rsidR="00B314A0">
        <w:rPr>
          <w:sz w:val="24"/>
          <w:szCs w:val="24"/>
          <w:u w:color="FF0000"/>
        </w:rPr>
        <w:t>3 653 534,00</w:t>
      </w:r>
      <w:r>
        <w:rPr>
          <w:sz w:val="24"/>
          <w:szCs w:val="24"/>
          <w:u w:color="FF0000"/>
        </w:rPr>
        <w:t xml:space="preserve"> рублей,</w:t>
      </w:r>
      <w:r w:rsidR="00B314A0">
        <w:rPr>
          <w:sz w:val="24"/>
          <w:szCs w:val="24"/>
          <w:u w:color="FF0000"/>
        </w:rPr>
        <w:t xml:space="preserve"> со снижением к уровню 2024 года на 44,55%,</w:t>
      </w:r>
      <w:r>
        <w:rPr>
          <w:sz w:val="24"/>
          <w:szCs w:val="24"/>
          <w:u w:color="FF0000"/>
        </w:rPr>
        <w:t xml:space="preserve"> на 2026 год в сумме </w:t>
      </w:r>
      <w:r w:rsidR="00B314A0">
        <w:rPr>
          <w:sz w:val="24"/>
          <w:szCs w:val="24"/>
          <w:u w:color="FF0000"/>
        </w:rPr>
        <w:t>4 927 221,00</w:t>
      </w:r>
      <w:r>
        <w:rPr>
          <w:sz w:val="24"/>
          <w:szCs w:val="24"/>
          <w:u w:color="FF0000"/>
        </w:rPr>
        <w:t xml:space="preserve"> рублей</w:t>
      </w:r>
      <w:r w:rsidR="00B314A0">
        <w:rPr>
          <w:sz w:val="24"/>
          <w:szCs w:val="24"/>
          <w:u w:color="FF0000"/>
        </w:rPr>
        <w:t xml:space="preserve"> с ростом к 2025 году на 34,86%</w:t>
      </w:r>
      <w:r>
        <w:rPr>
          <w:sz w:val="24"/>
          <w:szCs w:val="24"/>
          <w:u w:color="FF0000"/>
        </w:rPr>
        <w:t>.</w:t>
      </w:r>
      <w:r w:rsidR="00B314A0" w:rsidRPr="00B314A0">
        <w:rPr>
          <w:sz w:val="24"/>
          <w:szCs w:val="24"/>
        </w:rPr>
        <w:t xml:space="preserve"> </w:t>
      </w:r>
      <w:r w:rsidR="00B314A0">
        <w:rPr>
          <w:sz w:val="24"/>
          <w:szCs w:val="24"/>
        </w:rPr>
        <w:t xml:space="preserve">Объем бюджетных ассигнований дорожного фонда на трехлетний период сформирован с учетом требований пункта 5 статьи 179.4. БК РФ, </w:t>
      </w:r>
      <w:r w:rsidR="00B314A0">
        <w:rPr>
          <w:bCs/>
          <w:iCs/>
          <w:sz w:val="24"/>
          <w:szCs w:val="24"/>
        </w:rPr>
        <w:t>Положения</w:t>
      </w:r>
      <w:r w:rsidR="00B314A0" w:rsidRPr="003637E9">
        <w:rPr>
          <w:bCs/>
          <w:iCs/>
          <w:sz w:val="24"/>
          <w:szCs w:val="24"/>
        </w:rPr>
        <w:t xml:space="preserve"> «О порядке расходования средств резервного фонда Администрации Полтавского  городского поселения»</w:t>
      </w:r>
      <w:r w:rsidR="00B314A0">
        <w:rPr>
          <w:bCs/>
          <w:iCs/>
          <w:sz w:val="24"/>
          <w:szCs w:val="24"/>
        </w:rPr>
        <w:t>.</w:t>
      </w:r>
      <w:r>
        <w:rPr>
          <w:sz w:val="24"/>
          <w:szCs w:val="24"/>
          <w:u w:color="FF0000"/>
        </w:rPr>
        <w:t xml:space="preserve"> Направления использования бюджетных ассигнований дорожного фонда, предусмотренные проектом решения, соответствуют статье 179.4 Бюджетного кодекса и Порядку формирования и использования бюджетных ассигнований дорожного фонда Полтавского муниципального района. Средства дорожного фонда планируется направить на ремонт и содержание дорог Полтавского </w:t>
      </w:r>
      <w:r w:rsidR="00B314A0">
        <w:rPr>
          <w:sz w:val="24"/>
          <w:szCs w:val="24"/>
          <w:u w:color="FF0000"/>
        </w:rPr>
        <w:t>городского поселения-</w:t>
      </w:r>
      <w:r w:rsidR="008316D2">
        <w:rPr>
          <w:sz w:val="24"/>
          <w:szCs w:val="24"/>
          <w:u w:color="FF0000"/>
        </w:rPr>
        <w:t xml:space="preserve"> на обустройство тро</w:t>
      </w:r>
      <w:r w:rsidR="00B314A0">
        <w:rPr>
          <w:sz w:val="24"/>
          <w:szCs w:val="24"/>
          <w:u w:color="FF0000"/>
        </w:rPr>
        <w:t>туаров по ул.Калинина от дома №4 до дома №62 и по ул.Гуртьева от д.№2 до д.№96.(</w:t>
      </w:r>
      <w:r w:rsidR="008316D2">
        <w:rPr>
          <w:sz w:val="24"/>
          <w:szCs w:val="24"/>
          <w:u w:color="FF0000"/>
        </w:rPr>
        <w:t>в</w:t>
      </w:r>
      <w:r w:rsidR="00B314A0">
        <w:rPr>
          <w:sz w:val="24"/>
          <w:szCs w:val="24"/>
          <w:u w:color="FF0000"/>
        </w:rPr>
        <w:t xml:space="preserve"> 2024 году в сумме 2 400 000,00 рублей, в 2025 году в сумме 1 495 000,00 рублей, в 2026 году в сумме 1 406 000,00 рублей); на ремонт автомобильных дорог по ул. Комсомольская и ул.Черниговская ( от ул.Ленина до ул.Победы)</w:t>
      </w:r>
      <w:r w:rsidR="008316D2">
        <w:rPr>
          <w:sz w:val="24"/>
          <w:szCs w:val="24"/>
          <w:u w:color="FF0000"/>
        </w:rPr>
        <w:t>(в 2024 году 2 110 000,00 рублей); на устройство тротуара по ул.Победы (в 2024 году в сумме 163 000,00 рублей); для приобретения светоотражающей краски для обустройства пешеходных переходов (в 2024 году 70 000,00 рублей в плановые периоды 2025 и 2026 годов на уровне 2024 года); приобретение светофоров типа Т7 для обустройства пешеходных переходов (на 2024 год в сумме 100 000,00 рублей, на плановый период 110 000,00 рублей ежегодно)</w:t>
      </w:r>
      <w:r w:rsidR="00B314A0">
        <w:rPr>
          <w:sz w:val="24"/>
          <w:szCs w:val="24"/>
          <w:u w:color="FF0000"/>
        </w:rPr>
        <w:t xml:space="preserve">. </w:t>
      </w:r>
    </w:p>
    <w:p w:rsidR="008316D2" w:rsidRDefault="008316D2" w:rsidP="00B314A0">
      <w:pPr>
        <w:pStyle w:val="aa"/>
        <w:ind w:firstLine="709"/>
        <w:jc w:val="both"/>
        <w:rPr>
          <w:color w:val="000000"/>
          <w:sz w:val="24"/>
          <w:szCs w:val="24"/>
        </w:rPr>
      </w:pPr>
      <w:r>
        <w:rPr>
          <w:sz w:val="24"/>
          <w:szCs w:val="24"/>
          <w:u w:color="FF0000"/>
        </w:rPr>
        <w:t xml:space="preserve">По подразделу </w:t>
      </w:r>
      <w:r w:rsidRPr="008316D2">
        <w:rPr>
          <w:b/>
          <w:sz w:val="24"/>
          <w:szCs w:val="24"/>
          <w:u w:color="FF0000"/>
        </w:rPr>
        <w:t>«Другие вопросы в области национальной экономики»</w:t>
      </w:r>
      <w:r>
        <w:rPr>
          <w:sz w:val="24"/>
          <w:szCs w:val="24"/>
          <w:u w:color="FF0000"/>
        </w:rPr>
        <w:t xml:space="preserve"> в рамках подпрограммы </w:t>
      </w:r>
      <w:r w:rsidRPr="008316D2">
        <w:rPr>
          <w:color w:val="000000"/>
          <w:sz w:val="24"/>
          <w:szCs w:val="24"/>
        </w:rPr>
        <w:t>«Управление муниципальными учреждениями, формирование и развитие муниципальной собственности Полтавского городского поселения Полтавского муниципального района Омской области»</w:t>
      </w:r>
      <w:r>
        <w:rPr>
          <w:color w:val="000000"/>
          <w:sz w:val="24"/>
          <w:szCs w:val="24"/>
        </w:rPr>
        <w:t xml:space="preserve"> на оформление документации на объекты недвижимости в Полтавском городском поселении на 2024 год и плановый период запланировано 200 000,00 рублей ежегодно.</w:t>
      </w:r>
    </w:p>
    <w:p w:rsidR="008316D2" w:rsidRDefault="008316D2" w:rsidP="00B314A0">
      <w:pPr>
        <w:pStyle w:val="aa"/>
        <w:ind w:firstLine="709"/>
        <w:jc w:val="both"/>
        <w:rPr>
          <w:color w:val="000000"/>
          <w:sz w:val="24"/>
          <w:szCs w:val="24"/>
        </w:rPr>
      </w:pPr>
      <w:r>
        <w:rPr>
          <w:color w:val="000000"/>
          <w:sz w:val="24"/>
          <w:szCs w:val="24"/>
        </w:rPr>
        <w:t xml:space="preserve">Бюджетные ассигнования по разделу </w:t>
      </w:r>
      <w:r w:rsidRPr="00332E7E">
        <w:rPr>
          <w:b/>
          <w:color w:val="000000"/>
          <w:sz w:val="24"/>
          <w:szCs w:val="24"/>
        </w:rPr>
        <w:t>«Жилищно-коммунальное хозяйство»</w:t>
      </w:r>
      <w:r>
        <w:rPr>
          <w:color w:val="000000"/>
          <w:sz w:val="24"/>
          <w:szCs w:val="24"/>
        </w:rPr>
        <w:t xml:space="preserve"> </w:t>
      </w:r>
      <w:r w:rsidR="00332E7E">
        <w:rPr>
          <w:color w:val="000000"/>
          <w:sz w:val="24"/>
          <w:szCs w:val="24"/>
        </w:rPr>
        <w:t xml:space="preserve">предусмотрены на 2024 год в сумме 7 302 299,65 рублей, выше первоначально утвержденного бюджета поселения на 2023 год на 36,46% и ниже объема расходов  уточненной редакции на 59,51%, в плановом периоде 2025 года планируются средства в сумме 4 825 710,29 рублей, что ниже 2024 года на 33,92 %, а в 2026 году 4 861 461,29 </w:t>
      </w:r>
      <w:r w:rsidR="00332E7E">
        <w:rPr>
          <w:color w:val="000000"/>
          <w:sz w:val="24"/>
          <w:szCs w:val="24"/>
        </w:rPr>
        <w:lastRenderedPageBreak/>
        <w:t>рублей с ростом к 2025 году на 0,74%. В общей структуре расходов данный раздел занимает 19,47%.</w:t>
      </w:r>
    </w:p>
    <w:p w:rsidR="00332E7E" w:rsidRDefault="00332E7E" w:rsidP="00B314A0">
      <w:pPr>
        <w:pStyle w:val="aa"/>
        <w:ind w:firstLine="709"/>
        <w:jc w:val="both"/>
        <w:rPr>
          <w:color w:val="000000"/>
          <w:sz w:val="24"/>
          <w:szCs w:val="24"/>
        </w:rPr>
      </w:pPr>
      <w:r>
        <w:rPr>
          <w:sz w:val="24"/>
          <w:szCs w:val="24"/>
          <w:u w:color="FF0000"/>
        </w:rPr>
        <w:t xml:space="preserve">В рамках подраздела «Жилищное хозяйство» предусмотрены средства на исполнение подпрограммы </w:t>
      </w:r>
      <w:r w:rsidRPr="00332E7E">
        <w:rPr>
          <w:color w:val="000000"/>
          <w:sz w:val="24"/>
          <w:szCs w:val="24"/>
        </w:rPr>
        <w:t>«Обеспечение доступным и комфортным жильем и коммунальные услуги гражданам Полтавского городского поселения»</w:t>
      </w:r>
      <w:r>
        <w:rPr>
          <w:color w:val="000000"/>
          <w:sz w:val="24"/>
          <w:szCs w:val="24"/>
        </w:rPr>
        <w:t xml:space="preserve"> на формирование муниципального жилого фонда. С целью приобретения маневренного жилого фонда на 2024 год запланировано 1 881 000,00 рублей, в плановый период 2025 и 2026 годов суммы 6 500,00 рублей и 7 000,00 рублей.</w:t>
      </w:r>
    </w:p>
    <w:p w:rsidR="00CB53CA" w:rsidRDefault="00CB53CA" w:rsidP="00B314A0">
      <w:pPr>
        <w:pStyle w:val="aa"/>
        <w:ind w:firstLine="709"/>
        <w:jc w:val="both"/>
        <w:rPr>
          <w:color w:val="000000"/>
          <w:sz w:val="24"/>
          <w:szCs w:val="24"/>
        </w:rPr>
      </w:pPr>
      <w:r>
        <w:rPr>
          <w:color w:val="000000"/>
          <w:sz w:val="24"/>
          <w:szCs w:val="24"/>
        </w:rPr>
        <w:t xml:space="preserve">По подразделу «Коммунальное хозяйство» предусмотрены средства в рамках </w:t>
      </w:r>
      <w:r w:rsidRPr="00CB53CA">
        <w:rPr>
          <w:color w:val="000000"/>
          <w:sz w:val="24"/>
          <w:szCs w:val="24"/>
        </w:rPr>
        <w:t>подпрограммы «Обеспечение доступным и комфортным жильем и коммунальные услуги гражданам Полтавского городского поселения»</w:t>
      </w:r>
      <w:r>
        <w:rPr>
          <w:color w:val="000000"/>
          <w:sz w:val="24"/>
          <w:szCs w:val="24"/>
        </w:rPr>
        <w:t xml:space="preserve"> в сумме 735 000,00 рублей ежегодно, направление средств планируется  на замену изношенной системы водоснабжения, ремонт участка теплосети.</w:t>
      </w:r>
    </w:p>
    <w:p w:rsidR="00074F22" w:rsidRPr="00074F22" w:rsidRDefault="00CB53CA" w:rsidP="00074F22">
      <w:pPr>
        <w:pStyle w:val="aa"/>
        <w:spacing w:after="0"/>
        <w:ind w:firstLine="709"/>
        <w:jc w:val="both"/>
        <w:rPr>
          <w:sz w:val="24"/>
          <w:szCs w:val="24"/>
          <w:u w:color="FF0000"/>
        </w:rPr>
      </w:pPr>
      <w:r w:rsidRPr="00074F22">
        <w:rPr>
          <w:color w:val="000000"/>
          <w:sz w:val="24"/>
          <w:szCs w:val="24"/>
        </w:rPr>
        <w:t xml:space="preserve">По подразделу «Благоустройство» предусмотрены средства в объеме 3 819 299,65 рублей в 2024 году, в плановом периоде 2025 и 2026 годов в сумме 3 117 210,29 рублей и 3 152 461,29 рублей. В рамках подпрограммы «Обеспечение доступным и комфортным жильем и коммунальные услуги гражданам Полтавского городского поселения»  </w:t>
      </w:r>
      <w:r w:rsidRPr="00074F22">
        <w:rPr>
          <w:sz w:val="24"/>
          <w:szCs w:val="24"/>
          <w:u w:color="FF0000"/>
        </w:rPr>
        <w:t xml:space="preserve"> планируется направить средства</w:t>
      </w:r>
      <w:r w:rsidR="00074F22" w:rsidRPr="00074F22">
        <w:rPr>
          <w:sz w:val="24"/>
          <w:szCs w:val="24"/>
          <w:u w:color="FF0000"/>
        </w:rPr>
        <w:t>:</w:t>
      </w:r>
    </w:p>
    <w:p w:rsidR="00074F22" w:rsidRPr="00074F22" w:rsidRDefault="00074F22" w:rsidP="00074F22">
      <w:pPr>
        <w:pStyle w:val="aa"/>
        <w:spacing w:after="0"/>
        <w:ind w:firstLine="709"/>
        <w:jc w:val="both"/>
        <w:rPr>
          <w:sz w:val="24"/>
          <w:szCs w:val="24"/>
          <w:u w:color="FF0000"/>
        </w:rPr>
      </w:pPr>
      <w:r w:rsidRPr="00074F22">
        <w:rPr>
          <w:sz w:val="24"/>
          <w:szCs w:val="24"/>
          <w:u w:color="FF0000"/>
        </w:rPr>
        <w:t>-</w:t>
      </w:r>
      <w:r w:rsidR="00CB53CA" w:rsidRPr="00074F22">
        <w:rPr>
          <w:sz w:val="24"/>
          <w:szCs w:val="24"/>
          <w:u w:color="FF0000"/>
        </w:rPr>
        <w:t xml:space="preserve"> на организацию уличного освещения в 2024 году 1 924 460,00 рублей, в 2025 году 1 963 570,00 рублей, в 2026 году 2 014 110,00 рублей; </w:t>
      </w:r>
    </w:p>
    <w:p w:rsidR="00074F22" w:rsidRPr="00074F22" w:rsidRDefault="00074F22" w:rsidP="00074F22">
      <w:pPr>
        <w:pStyle w:val="aa"/>
        <w:spacing w:after="0"/>
        <w:ind w:firstLine="709"/>
        <w:jc w:val="both"/>
        <w:rPr>
          <w:sz w:val="24"/>
          <w:szCs w:val="24"/>
          <w:u w:color="FF0000"/>
        </w:rPr>
      </w:pPr>
      <w:r w:rsidRPr="00074F22">
        <w:rPr>
          <w:sz w:val="24"/>
          <w:szCs w:val="24"/>
          <w:u w:color="FF0000"/>
        </w:rPr>
        <w:t>-</w:t>
      </w:r>
      <w:r w:rsidR="00CB53CA" w:rsidRPr="00074F22">
        <w:rPr>
          <w:sz w:val="24"/>
          <w:szCs w:val="24"/>
          <w:u w:color="FF0000"/>
        </w:rPr>
        <w:t>на мероприятия по озеленению населенных пунктов поселения планируется направить ежегодно 150 000,00 рублей;</w:t>
      </w:r>
      <w:r w:rsidRPr="00074F22">
        <w:rPr>
          <w:sz w:val="24"/>
          <w:szCs w:val="24"/>
          <w:u w:color="FF0000"/>
        </w:rPr>
        <w:t xml:space="preserve"> </w:t>
      </w:r>
    </w:p>
    <w:p w:rsidR="00074F22" w:rsidRPr="00074F22" w:rsidRDefault="00074F22" w:rsidP="00074F22">
      <w:pPr>
        <w:pStyle w:val="aa"/>
        <w:spacing w:after="0"/>
        <w:ind w:firstLine="709"/>
        <w:jc w:val="both"/>
        <w:rPr>
          <w:sz w:val="24"/>
          <w:szCs w:val="24"/>
          <w:u w:color="FF0000"/>
        </w:rPr>
      </w:pPr>
      <w:r w:rsidRPr="00074F22">
        <w:rPr>
          <w:sz w:val="24"/>
          <w:szCs w:val="24"/>
          <w:u w:color="FF0000"/>
        </w:rPr>
        <w:t xml:space="preserve">-на мероприятия по благоустройству и содержанию мест захоронений в 2024 году 25 000,00 рублей, в плановом периоде 30 000,00 рублей ежегодно, </w:t>
      </w:r>
    </w:p>
    <w:p w:rsidR="00074F22" w:rsidRPr="00074F22" w:rsidRDefault="00074F22" w:rsidP="00074F22">
      <w:pPr>
        <w:pStyle w:val="aa"/>
        <w:spacing w:after="0"/>
        <w:ind w:firstLine="709"/>
        <w:jc w:val="both"/>
        <w:rPr>
          <w:color w:val="000000"/>
          <w:sz w:val="24"/>
          <w:szCs w:val="24"/>
        </w:rPr>
      </w:pPr>
      <w:r w:rsidRPr="00074F22">
        <w:rPr>
          <w:sz w:val="24"/>
          <w:szCs w:val="24"/>
          <w:u w:color="FF0000"/>
        </w:rPr>
        <w:t xml:space="preserve">-на мероприятия </w:t>
      </w:r>
      <w:r w:rsidR="00CB53CA" w:rsidRPr="00074F22">
        <w:rPr>
          <w:sz w:val="24"/>
          <w:szCs w:val="24"/>
          <w:u w:color="FF0000"/>
        </w:rPr>
        <w:t xml:space="preserve">  </w:t>
      </w:r>
      <w:r w:rsidRPr="00074F22">
        <w:rPr>
          <w:color w:val="000000"/>
          <w:sz w:val="24"/>
          <w:szCs w:val="24"/>
        </w:rPr>
        <w:t>по благоустройству и содержанию территорий городского поселения в 2024 году 636 839,65 рублей, в 2025 году 803 640,29 рублей, на 2026 год в сумме 788 351,29 рублей;</w:t>
      </w:r>
    </w:p>
    <w:p w:rsidR="00074F22" w:rsidRPr="00074F22" w:rsidRDefault="00074F22" w:rsidP="00074F22">
      <w:pPr>
        <w:pStyle w:val="aa"/>
        <w:spacing w:after="0"/>
        <w:ind w:firstLine="709"/>
        <w:jc w:val="both"/>
        <w:rPr>
          <w:sz w:val="24"/>
          <w:szCs w:val="24"/>
          <w:u w:color="FF0000"/>
        </w:rPr>
      </w:pPr>
      <w:r w:rsidRPr="00074F22">
        <w:rPr>
          <w:sz w:val="24"/>
          <w:szCs w:val="24"/>
          <w:u w:color="FF0000"/>
        </w:rPr>
        <w:t>- на мероприятия по борьбе с наркосодержащими растениями в сумме 20 000,00 рублей ежегодно;</w:t>
      </w:r>
    </w:p>
    <w:p w:rsidR="00CB53CA" w:rsidRDefault="00074F22" w:rsidP="00074F22">
      <w:pPr>
        <w:pStyle w:val="aa"/>
        <w:spacing w:after="0"/>
        <w:ind w:firstLine="709"/>
        <w:jc w:val="both"/>
        <w:rPr>
          <w:sz w:val="24"/>
          <w:szCs w:val="24"/>
          <w:u w:color="FF0000"/>
        </w:rPr>
      </w:pPr>
      <w:r w:rsidRPr="00074F22">
        <w:rPr>
          <w:sz w:val="24"/>
          <w:szCs w:val="24"/>
          <w:u w:color="FF0000"/>
        </w:rPr>
        <w:t xml:space="preserve">- на </w:t>
      </w:r>
      <w:r>
        <w:rPr>
          <w:sz w:val="24"/>
          <w:szCs w:val="24"/>
          <w:u w:color="FF0000"/>
        </w:rPr>
        <w:t>р</w:t>
      </w:r>
      <w:r w:rsidRPr="00074F22">
        <w:rPr>
          <w:color w:val="000000"/>
          <w:sz w:val="24"/>
          <w:szCs w:val="24"/>
        </w:rPr>
        <w:t>еализаци</w:t>
      </w:r>
      <w:r>
        <w:rPr>
          <w:color w:val="000000"/>
          <w:sz w:val="24"/>
          <w:szCs w:val="24"/>
        </w:rPr>
        <w:t>ю</w:t>
      </w:r>
      <w:r w:rsidRPr="00074F22">
        <w:rPr>
          <w:color w:val="000000"/>
          <w:sz w:val="24"/>
          <w:szCs w:val="24"/>
        </w:rPr>
        <w:t xml:space="preserve"> инициативного проекта "Благоустройство пешеходной зоны от здания номер 9 по ул. Комсомольская до здания номер 21 по ул.</w:t>
      </w:r>
      <w:r>
        <w:rPr>
          <w:color w:val="000000"/>
          <w:sz w:val="24"/>
          <w:szCs w:val="24"/>
        </w:rPr>
        <w:t xml:space="preserve"> </w:t>
      </w:r>
      <w:r w:rsidRPr="00074F22">
        <w:rPr>
          <w:color w:val="000000"/>
          <w:sz w:val="24"/>
          <w:szCs w:val="24"/>
        </w:rPr>
        <w:t>Победы в р.п. Полтавка Полтавского района Омской области"</w:t>
      </w:r>
      <w:r w:rsidR="00CB53CA" w:rsidRPr="00074F22">
        <w:rPr>
          <w:sz w:val="24"/>
          <w:szCs w:val="24"/>
          <w:u w:color="FF0000"/>
        </w:rPr>
        <w:t xml:space="preserve"> </w:t>
      </w:r>
      <w:r w:rsidRPr="00074F22">
        <w:rPr>
          <w:sz w:val="24"/>
          <w:szCs w:val="24"/>
          <w:u w:color="FF0000"/>
        </w:rPr>
        <w:t xml:space="preserve"> в 2024 году в сумме 163 000,00 рублей</w:t>
      </w:r>
      <w:r w:rsidR="00DF5F52">
        <w:rPr>
          <w:sz w:val="24"/>
          <w:szCs w:val="24"/>
          <w:u w:color="FF0000"/>
        </w:rPr>
        <w:t>;</w:t>
      </w:r>
    </w:p>
    <w:p w:rsidR="00DF5F52" w:rsidRDefault="00DF5F52" w:rsidP="00074F22">
      <w:pPr>
        <w:pStyle w:val="aa"/>
        <w:spacing w:after="0"/>
        <w:ind w:firstLine="709"/>
        <w:jc w:val="both"/>
        <w:rPr>
          <w:color w:val="000000"/>
          <w:sz w:val="24"/>
          <w:szCs w:val="24"/>
        </w:rPr>
      </w:pPr>
      <w:r>
        <w:rPr>
          <w:sz w:val="24"/>
          <w:szCs w:val="24"/>
          <w:u w:color="FF0000"/>
        </w:rPr>
        <w:t xml:space="preserve">-на </w:t>
      </w:r>
      <w:r w:rsidRPr="00DF5F52">
        <w:rPr>
          <w:color w:val="000000"/>
          <w:sz w:val="24"/>
          <w:szCs w:val="24"/>
        </w:rPr>
        <w:t>Создание мест (площадок) накопления твердых коммунальных отходов и (или) приобретение контейнеров (бункеров)</w:t>
      </w:r>
      <w:r>
        <w:rPr>
          <w:color w:val="000000"/>
          <w:sz w:val="24"/>
          <w:szCs w:val="24"/>
        </w:rPr>
        <w:t xml:space="preserve"> ежегодно в сумме 150 000,00 рублей</w:t>
      </w:r>
      <w:r w:rsidR="00970AF2">
        <w:rPr>
          <w:color w:val="000000"/>
          <w:sz w:val="24"/>
          <w:szCs w:val="24"/>
        </w:rPr>
        <w:t>.</w:t>
      </w:r>
    </w:p>
    <w:p w:rsidR="00970AF2" w:rsidRDefault="00970AF2" w:rsidP="00970AF2">
      <w:pPr>
        <w:spacing w:after="0" w:line="240" w:lineRule="auto"/>
        <w:ind w:firstLine="709"/>
        <w:jc w:val="both"/>
        <w:rPr>
          <w:rFonts w:ascii="Times New Roman" w:hAnsi="Times New Roman" w:cs="Times New Roman"/>
          <w:color w:val="000000"/>
          <w:sz w:val="24"/>
          <w:szCs w:val="24"/>
        </w:rPr>
      </w:pPr>
      <w:r w:rsidRPr="00970AF2">
        <w:rPr>
          <w:rFonts w:ascii="Times New Roman" w:hAnsi="Times New Roman" w:cs="Times New Roman"/>
          <w:color w:val="000000"/>
          <w:sz w:val="24"/>
          <w:szCs w:val="24"/>
        </w:rPr>
        <w:t xml:space="preserve">В рамках </w:t>
      </w:r>
      <w:r w:rsidRPr="00970AF2">
        <w:rPr>
          <w:rFonts w:ascii="Times New Roman" w:hAnsi="Times New Roman" w:cs="Times New Roman"/>
          <w:color w:val="000000"/>
          <w:sz w:val="24"/>
          <w:szCs w:val="24"/>
        </w:rPr>
        <w:t>Муниципальн</w:t>
      </w:r>
      <w:r>
        <w:rPr>
          <w:rFonts w:ascii="Times New Roman" w:hAnsi="Times New Roman" w:cs="Times New Roman"/>
          <w:color w:val="000000"/>
          <w:sz w:val="24"/>
          <w:szCs w:val="24"/>
        </w:rPr>
        <w:t>ой программы</w:t>
      </w:r>
      <w:r w:rsidRPr="00970AF2">
        <w:rPr>
          <w:rFonts w:ascii="Times New Roman" w:hAnsi="Times New Roman" w:cs="Times New Roman"/>
          <w:color w:val="000000"/>
          <w:sz w:val="24"/>
          <w:szCs w:val="24"/>
        </w:rPr>
        <w:t xml:space="preserve"> "Формирование комфортной городской среды Полтавского городского поселения Полтавского муниципального района Омской области на 2018-2024 годы"</w:t>
      </w:r>
      <w:r>
        <w:rPr>
          <w:rFonts w:ascii="Times New Roman" w:hAnsi="Times New Roman" w:cs="Times New Roman"/>
          <w:color w:val="000000"/>
          <w:sz w:val="24"/>
          <w:szCs w:val="24"/>
        </w:rPr>
        <w:t xml:space="preserve"> предусмотрено 750 000,00 рублей на 2024 год, на  плановый период 2025 и 2026 годов в сумме 100 000,00 рублей, средства предусмотрены на благоустройство общественных территорий.</w:t>
      </w:r>
    </w:p>
    <w:p w:rsidR="00970AF2" w:rsidRDefault="00970AF2" w:rsidP="00970AF2">
      <w:pPr>
        <w:spacing w:after="0" w:line="240" w:lineRule="auto"/>
        <w:ind w:firstLine="709"/>
        <w:jc w:val="both"/>
        <w:rPr>
          <w:rFonts w:ascii="Times New Roman" w:hAnsi="Times New Roman" w:cs="Times New Roman"/>
          <w:color w:val="000000"/>
          <w:sz w:val="24"/>
          <w:szCs w:val="24"/>
        </w:rPr>
      </w:pPr>
      <w:r w:rsidRPr="00970AF2">
        <w:rPr>
          <w:rFonts w:ascii="Times New Roman" w:hAnsi="Times New Roman" w:cs="Times New Roman"/>
          <w:color w:val="000000"/>
          <w:sz w:val="24"/>
          <w:szCs w:val="24"/>
        </w:rPr>
        <w:t>Бюджетные ассигнования  по подразделу «Другие вопросы в области жилищно-коммунального хозяйства» запланированы на 2024 год в объеме 867 000,00 ежегодно.</w:t>
      </w:r>
      <w:r>
        <w:rPr>
          <w:rFonts w:ascii="Times New Roman" w:hAnsi="Times New Roman" w:cs="Times New Roman"/>
          <w:color w:val="000000"/>
          <w:sz w:val="24"/>
          <w:szCs w:val="24"/>
        </w:rPr>
        <w:t xml:space="preserve"> Данные средства предусмотрены в рамках подпрограммы</w:t>
      </w:r>
      <w:r w:rsidRPr="00970AF2">
        <w:rPr>
          <w:rFonts w:ascii="Times New Roman" w:hAnsi="Times New Roman" w:cs="Times New Roman"/>
          <w:color w:val="000000"/>
          <w:sz w:val="24"/>
          <w:szCs w:val="24"/>
        </w:rPr>
        <w:t xml:space="preserve"> «Обеспечение доступным и комфортным жильем и коммунальные услуги гражданам Полтавского городского поселения»</w:t>
      </w:r>
      <w:r>
        <w:rPr>
          <w:rFonts w:ascii="Times New Roman" w:hAnsi="Times New Roman" w:cs="Times New Roman"/>
          <w:color w:val="000000"/>
          <w:sz w:val="24"/>
          <w:szCs w:val="24"/>
        </w:rPr>
        <w:t xml:space="preserve"> на создание условий для обеспечения деятельности бани.</w:t>
      </w:r>
    </w:p>
    <w:p w:rsidR="00970AF2" w:rsidRDefault="00970AF2" w:rsidP="00970AF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Бюджетные ассигнования по разделу </w:t>
      </w:r>
      <w:r w:rsidRPr="001B3A5E">
        <w:rPr>
          <w:rFonts w:ascii="Times New Roman" w:hAnsi="Times New Roman" w:cs="Times New Roman"/>
          <w:b/>
          <w:color w:val="000000"/>
          <w:sz w:val="24"/>
          <w:szCs w:val="24"/>
        </w:rPr>
        <w:t xml:space="preserve">«Образование» </w:t>
      </w:r>
      <w:r>
        <w:rPr>
          <w:rFonts w:ascii="Times New Roman" w:hAnsi="Times New Roman" w:cs="Times New Roman"/>
          <w:color w:val="000000"/>
          <w:sz w:val="24"/>
          <w:szCs w:val="24"/>
        </w:rPr>
        <w:t xml:space="preserve">на 2024 год запланированы в сумме </w:t>
      </w:r>
      <w:r w:rsidR="001B3A5E">
        <w:rPr>
          <w:rFonts w:ascii="Times New Roman" w:hAnsi="Times New Roman" w:cs="Times New Roman"/>
          <w:color w:val="000000"/>
          <w:sz w:val="24"/>
          <w:szCs w:val="24"/>
        </w:rPr>
        <w:t xml:space="preserve">20 000,00 рублей, что соответствует значению бюджета поселения 2023 года, на плановый период 2025 год и 2025 год  в сумме 21 000,00 рублей и 22 000,00 рублей соответственно. Направление средств планируется по подпрограмме </w:t>
      </w:r>
      <w:r w:rsidR="001B3A5E" w:rsidRPr="001B3A5E">
        <w:rPr>
          <w:rFonts w:ascii="Times New Roman" w:hAnsi="Times New Roman" w:cs="Times New Roman"/>
          <w:color w:val="000000"/>
          <w:sz w:val="24"/>
          <w:szCs w:val="24"/>
        </w:rPr>
        <w:t>«Улучшение демографической ситуации и социального благополучия населения Полтавского городского поселения»</w:t>
      </w:r>
      <w:r w:rsidR="001B3A5E">
        <w:rPr>
          <w:rFonts w:ascii="Times New Roman" w:hAnsi="Times New Roman" w:cs="Times New Roman"/>
          <w:color w:val="000000"/>
          <w:sz w:val="24"/>
          <w:szCs w:val="24"/>
        </w:rPr>
        <w:t xml:space="preserve"> для проведения мероприятий детей и молодежи Полтавского городского поселения.</w:t>
      </w:r>
    </w:p>
    <w:p w:rsidR="001B3A5E" w:rsidRDefault="001B3A5E" w:rsidP="00970AF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Бюджетные ассигнования по разделу </w:t>
      </w:r>
      <w:r w:rsidRPr="001B3A5E">
        <w:rPr>
          <w:rFonts w:ascii="Times New Roman" w:hAnsi="Times New Roman" w:cs="Times New Roman"/>
          <w:b/>
          <w:color w:val="000000"/>
          <w:sz w:val="24"/>
          <w:szCs w:val="24"/>
        </w:rPr>
        <w:t>«Культура и кинематография»</w:t>
      </w:r>
      <w:r>
        <w:rPr>
          <w:rFonts w:ascii="Times New Roman" w:hAnsi="Times New Roman" w:cs="Times New Roman"/>
          <w:b/>
          <w:color w:val="000000"/>
          <w:sz w:val="24"/>
          <w:szCs w:val="24"/>
        </w:rPr>
        <w:t xml:space="preserve"> </w:t>
      </w:r>
      <w:r w:rsidRPr="001B3A5E">
        <w:rPr>
          <w:rFonts w:ascii="Times New Roman" w:hAnsi="Times New Roman" w:cs="Times New Roman"/>
          <w:color w:val="000000"/>
          <w:sz w:val="24"/>
          <w:szCs w:val="24"/>
        </w:rPr>
        <w:t>запланированы в объеме</w:t>
      </w:r>
      <w:r>
        <w:rPr>
          <w:rFonts w:ascii="Times New Roman" w:hAnsi="Times New Roman" w:cs="Times New Roman"/>
          <w:b/>
          <w:color w:val="000000"/>
          <w:sz w:val="24"/>
          <w:szCs w:val="24"/>
        </w:rPr>
        <w:t xml:space="preserve"> </w:t>
      </w:r>
      <w:r w:rsidRPr="001B3A5E">
        <w:rPr>
          <w:rFonts w:ascii="Times New Roman" w:hAnsi="Times New Roman" w:cs="Times New Roman"/>
          <w:color w:val="000000"/>
          <w:sz w:val="24"/>
          <w:szCs w:val="24"/>
        </w:rPr>
        <w:t>200 000,</w:t>
      </w:r>
      <w:r>
        <w:rPr>
          <w:rFonts w:ascii="Times New Roman" w:hAnsi="Times New Roman" w:cs="Times New Roman"/>
          <w:color w:val="000000"/>
          <w:sz w:val="24"/>
          <w:szCs w:val="24"/>
        </w:rPr>
        <w:t>00 рублей ежегодно, с целью организации и проведения мероприятий для населения.</w:t>
      </w:r>
    </w:p>
    <w:p w:rsidR="00B66F44" w:rsidRDefault="001B3A5E" w:rsidP="00970AF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Бюджетные ассигнования по разделу «Социальная политика» запланирована в сумме 260 000,00 рублей в 2024 году, что составляет 12,33% значений уточненной редакции 2023 года, в плановом периоде 2025 и 2026 году в сумме 265 000,00 рублей и 270 000,00 рублей.</w:t>
      </w:r>
      <w:r w:rsidR="00B66F44">
        <w:rPr>
          <w:rFonts w:ascii="Times New Roman" w:hAnsi="Times New Roman" w:cs="Times New Roman"/>
          <w:color w:val="000000"/>
          <w:sz w:val="24"/>
          <w:szCs w:val="24"/>
        </w:rPr>
        <w:t xml:space="preserve"> Средства запланированы для обеспечения расходных обязательств по оплате доплат к пенсиям муниципальных служащих в сумме 200 000,00 рублей ежегодно, на обеспечение мероприятий по обеспечению жильем молодых семей по подпрограмме </w:t>
      </w:r>
      <w:r w:rsidR="00B66F44" w:rsidRPr="00B66F44">
        <w:rPr>
          <w:rFonts w:ascii="Times New Roman" w:hAnsi="Times New Roman" w:cs="Times New Roman"/>
          <w:color w:val="000000"/>
          <w:sz w:val="24"/>
          <w:szCs w:val="24"/>
        </w:rPr>
        <w:t>«Обеспечение доступным и комфортным жильем и коммунальные услуги гражданам Полтавского городского поселения»</w:t>
      </w:r>
      <w:r w:rsidR="00B66F44">
        <w:rPr>
          <w:rFonts w:ascii="Times New Roman" w:hAnsi="Times New Roman" w:cs="Times New Roman"/>
          <w:color w:val="000000"/>
          <w:sz w:val="24"/>
          <w:szCs w:val="24"/>
        </w:rPr>
        <w:t xml:space="preserve"> в сумме 60 000,00 рублей в 2024 году, в плановом периоде 2025 и 2026 годов в сумме 65 000,00 рублей и 70 000,00 рублей соответственно.</w:t>
      </w:r>
    </w:p>
    <w:p w:rsidR="001B3A5E" w:rsidRDefault="00B66F44" w:rsidP="00970AF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разделу </w:t>
      </w:r>
      <w:r w:rsidRPr="00B66F44">
        <w:rPr>
          <w:rFonts w:ascii="Times New Roman" w:hAnsi="Times New Roman" w:cs="Times New Roman"/>
          <w:b/>
          <w:color w:val="000000"/>
          <w:sz w:val="24"/>
          <w:szCs w:val="24"/>
        </w:rPr>
        <w:t>«Физическая культура и спорт»</w:t>
      </w:r>
      <w:r>
        <w:rPr>
          <w:rFonts w:ascii="Times New Roman" w:hAnsi="Times New Roman" w:cs="Times New Roman"/>
          <w:color w:val="000000"/>
          <w:sz w:val="24"/>
          <w:szCs w:val="24"/>
        </w:rPr>
        <w:t xml:space="preserve"> бюджетные ассигнования предусмотрены в сумме 350 000,00 рублей на 2024 год, с ростом к первоначальной и уточненной редакции 2023 года на 34,62% и 28,76% и в сумме 300 000,00 рублей на плановый период 2025 и 2026 годов ежегодно. В рамках подраздела «Массовый спорт» средства планируется направить на </w:t>
      </w:r>
      <w:r w:rsidR="00A40028">
        <w:rPr>
          <w:rFonts w:ascii="Times New Roman" w:hAnsi="Times New Roman" w:cs="Times New Roman"/>
          <w:color w:val="000000"/>
          <w:sz w:val="24"/>
          <w:szCs w:val="24"/>
        </w:rPr>
        <w:t xml:space="preserve">обеспечение мероприятий в области спорта в Полтавском городском поселении на участие команд в районных. Межпоселковых соревнованиях в сумме 240 000,00 рублей ежегодно, на приобретение спортивного инвентаря в сумме 110 000,00 рублей  на 2024 год, на 2025 и 2026 год в  сумме </w:t>
      </w:r>
      <w:r>
        <w:rPr>
          <w:rFonts w:ascii="Times New Roman" w:hAnsi="Times New Roman" w:cs="Times New Roman"/>
          <w:color w:val="000000"/>
          <w:sz w:val="24"/>
          <w:szCs w:val="24"/>
        </w:rPr>
        <w:t xml:space="preserve"> </w:t>
      </w:r>
      <w:r w:rsidR="00A40028">
        <w:rPr>
          <w:rFonts w:ascii="Times New Roman" w:hAnsi="Times New Roman" w:cs="Times New Roman"/>
          <w:color w:val="000000"/>
          <w:sz w:val="24"/>
          <w:szCs w:val="24"/>
        </w:rPr>
        <w:t>60 000,00 рублей ежегодно.</w:t>
      </w:r>
    </w:p>
    <w:p w:rsidR="00B60F80" w:rsidRDefault="00B60F80" w:rsidP="00970AF2">
      <w:pPr>
        <w:spacing w:after="0" w:line="240" w:lineRule="auto"/>
        <w:ind w:firstLine="709"/>
        <w:jc w:val="both"/>
        <w:rPr>
          <w:rFonts w:ascii="Times New Roman" w:hAnsi="Times New Roman" w:cs="Times New Roman"/>
          <w:color w:val="000000"/>
          <w:sz w:val="24"/>
          <w:szCs w:val="24"/>
        </w:rPr>
      </w:pPr>
    </w:p>
    <w:p w:rsidR="00B60F80" w:rsidRPr="00B60F80" w:rsidRDefault="00B60F80" w:rsidP="00970AF2">
      <w:pPr>
        <w:spacing w:after="0" w:line="240" w:lineRule="auto"/>
        <w:ind w:firstLine="709"/>
        <w:jc w:val="both"/>
        <w:rPr>
          <w:rFonts w:ascii="Times New Roman" w:hAnsi="Times New Roman" w:cs="Times New Roman"/>
          <w:b/>
          <w:color w:val="000000"/>
          <w:sz w:val="24"/>
          <w:szCs w:val="24"/>
        </w:rPr>
      </w:pPr>
      <w:r w:rsidRPr="00B60F80">
        <w:rPr>
          <w:rFonts w:ascii="Times New Roman" w:hAnsi="Times New Roman" w:cs="Times New Roman"/>
          <w:b/>
          <w:color w:val="000000"/>
          <w:sz w:val="24"/>
          <w:szCs w:val="24"/>
        </w:rPr>
        <w:t>4. Источники финансирования дефицита местного бюджета</w:t>
      </w:r>
    </w:p>
    <w:bookmarkEnd w:id="16"/>
    <w:bookmarkEnd w:id="17"/>
    <w:p w:rsidR="007039C9" w:rsidRPr="00B60F80" w:rsidRDefault="003F6358">
      <w:pPr>
        <w:pStyle w:val="ConsNonformat"/>
        <w:ind w:firstLine="709"/>
        <w:jc w:val="both"/>
        <w:rPr>
          <w:rFonts w:ascii="Times New Roman" w:hAnsi="Times New Roman"/>
          <w:sz w:val="24"/>
          <w:szCs w:val="24"/>
        </w:rPr>
      </w:pPr>
      <w:r w:rsidRPr="00B60F80">
        <w:rPr>
          <w:rFonts w:ascii="Times New Roman" w:hAnsi="Times New Roman"/>
          <w:sz w:val="24"/>
          <w:szCs w:val="24"/>
        </w:rPr>
        <w:t xml:space="preserve">Одним из основных направлений долговой политики </w:t>
      </w:r>
      <w:r w:rsidRPr="00B60F80">
        <w:rPr>
          <w:rFonts w:ascii="Times New Roman" w:eastAsiaTheme="minorHAnsi" w:hAnsi="Times New Roman"/>
          <w:sz w:val="24"/>
          <w:szCs w:val="24"/>
          <w:lang w:eastAsia="en-US"/>
        </w:rPr>
        <w:t>Полтавского городского</w:t>
      </w:r>
      <w:r w:rsidRPr="00B60F80">
        <w:rPr>
          <w:rFonts w:ascii="Times New Roman" w:hAnsi="Times New Roman"/>
          <w:sz w:val="24"/>
          <w:szCs w:val="24"/>
        </w:rPr>
        <w:t xml:space="preserve"> поселения является недопущение муниципального долга </w:t>
      </w:r>
      <w:r w:rsidRPr="00B60F80">
        <w:rPr>
          <w:rFonts w:ascii="Times New Roman" w:eastAsiaTheme="minorHAnsi" w:hAnsi="Times New Roman"/>
          <w:sz w:val="24"/>
          <w:szCs w:val="24"/>
          <w:lang w:eastAsia="en-US"/>
        </w:rPr>
        <w:t>Полтавского городского</w:t>
      </w:r>
      <w:r w:rsidRPr="00B60F80">
        <w:rPr>
          <w:rFonts w:ascii="Times New Roman" w:hAnsi="Times New Roman"/>
          <w:sz w:val="24"/>
          <w:szCs w:val="24"/>
        </w:rPr>
        <w:t xml:space="preserve"> поселения Полтавского муниципального района.  По состоянию на 01.10.202</w:t>
      </w:r>
      <w:r w:rsidR="00B60F80" w:rsidRPr="00B60F80">
        <w:rPr>
          <w:rFonts w:ascii="Times New Roman" w:hAnsi="Times New Roman"/>
          <w:sz w:val="24"/>
          <w:szCs w:val="24"/>
        </w:rPr>
        <w:t>3</w:t>
      </w:r>
      <w:r w:rsidRPr="00B60F80">
        <w:rPr>
          <w:rFonts w:ascii="Times New Roman" w:hAnsi="Times New Roman"/>
          <w:sz w:val="24"/>
          <w:szCs w:val="24"/>
        </w:rPr>
        <w:t xml:space="preserve"> года муниципальный долг в поселении отсутствует</w:t>
      </w:r>
      <w:r w:rsidR="00B60F80" w:rsidRPr="00B60F80">
        <w:rPr>
          <w:rFonts w:ascii="Times New Roman" w:hAnsi="Times New Roman"/>
          <w:sz w:val="24"/>
          <w:szCs w:val="24"/>
        </w:rPr>
        <w:t>.</w:t>
      </w:r>
    </w:p>
    <w:p w:rsidR="00B60F80" w:rsidRPr="00B60F80" w:rsidRDefault="00B60F80" w:rsidP="00B60F80">
      <w:pPr>
        <w:pStyle w:val="western"/>
        <w:spacing w:beforeAutospacing="0" w:after="0"/>
        <w:ind w:firstLine="709"/>
        <w:jc w:val="both"/>
        <w:rPr>
          <w:sz w:val="24"/>
          <w:szCs w:val="24"/>
        </w:rPr>
      </w:pPr>
      <w:r w:rsidRPr="00B60F80">
        <w:rPr>
          <w:sz w:val="24"/>
          <w:szCs w:val="24"/>
        </w:rPr>
        <w:t>Осуществление внешних заимствований, предоставление муниципал</w:t>
      </w:r>
      <w:r w:rsidRPr="00B60F80">
        <w:rPr>
          <w:sz w:val="24"/>
          <w:szCs w:val="24"/>
        </w:rPr>
        <w:t>ь</w:t>
      </w:r>
      <w:r w:rsidRPr="00B60F80">
        <w:rPr>
          <w:sz w:val="24"/>
          <w:szCs w:val="24"/>
        </w:rPr>
        <w:t xml:space="preserve">ных гарантий Полтавского </w:t>
      </w:r>
      <w:r>
        <w:rPr>
          <w:sz w:val="24"/>
          <w:szCs w:val="24"/>
        </w:rPr>
        <w:t>городского поселения</w:t>
      </w:r>
      <w:r w:rsidRPr="00B60F80">
        <w:rPr>
          <w:sz w:val="24"/>
          <w:szCs w:val="24"/>
        </w:rPr>
        <w:t xml:space="preserve"> в 2024 году и в плановом периоде 2025 и 2026 годов не предусмотрены.</w:t>
      </w:r>
    </w:p>
    <w:p w:rsidR="00B60F80" w:rsidRPr="00B60F80" w:rsidRDefault="00B60F80" w:rsidP="00B60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Местный</w:t>
      </w:r>
      <w:r w:rsidRPr="00B60F80">
        <w:rPr>
          <w:rFonts w:ascii="Times New Roman" w:hAnsi="Times New Roman" w:cs="Times New Roman"/>
          <w:sz w:val="24"/>
          <w:szCs w:val="24"/>
        </w:rPr>
        <w:t xml:space="preserve"> бюджет на 2024 год</w:t>
      </w:r>
      <w:r>
        <w:rPr>
          <w:rFonts w:ascii="Times New Roman" w:hAnsi="Times New Roman" w:cs="Times New Roman"/>
          <w:sz w:val="24"/>
          <w:szCs w:val="24"/>
        </w:rPr>
        <w:t xml:space="preserve"> и плановый период 2025 и2026 годов</w:t>
      </w:r>
      <w:r w:rsidRPr="00B60F80">
        <w:rPr>
          <w:rFonts w:ascii="Times New Roman" w:hAnsi="Times New Roman" w:cs="Times New Roman"/>
          <w:sz w:val="24"/>
          <w:szCs w:val="24"/>
        </w:rPr>
        <w:t xml:space="preserve"> планируется проектом решения  сбалансированным, без превышения доходной и расходной части </w:t>
      </w:r>
      <w:r>
        <w:rPr>
          <w:rFonts w:ascii="Times New Roman" w:hAnsi="Times New Roman" w:cs="Times New Roman"/>
          <w:sz w:val="24"/>
          <w:szCs w:val="24"/>
        </w:rPr>
        <w:t>местного</w:t>
      </w:r>
      <w:r w:rsidRPr="00B60F80">
        <w:rPr>
          <w:rFonts w:ascii="Times New Roman" w:hAnsi="Times New Roman" w:cs="Times New Roman"/>
          <w:sz w:val="24"/>
          <w:szCs w:val="24"/>
        </w:rPr>
        <w:t xml:space="preserve"> бюджета.</w:t>
      </w:r>
    </w:p>
    <w:p w:rsidR="007039C9" w:rsidRDefault="007039C9">
      <w:pPr>
        <w:spacing w:after="0" w:line="240" w:lineRule="auto"/>
        <w:ind w:firstLine="709"/>
        <w:jc w:val="both"/>
        <w:rPr>
          <w:rFonts w:ascii="Times New Roman" w:hAnsi="Times New Roman" w:cs="Times New Roman"/>
          <w:sz w:val="24"/>
          <w:szCs w:val="24"/>
        </w:rPr>
      </w:pPr>
    </w:p>
    <w:p w:rsidR="007039C9" w:rsidRDefault="00B60F8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r w:rsidR="003F6358">
        <w:rPr>
          <w:rFonts w:ascii="Times New Roman" w:hAnsi="Times New Roman" w:cs="Times New Roman"/>
          <w:b/>
          <w:sz w:val="24"/>
          <w:szCs w:val="24"/>
        </w:rPr>
        <w:t>.Заключительная часть</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1.Проект бюджета Полтавского городского поселения Полтавского муниципального района на 202</w:t>
      </w:r>
      <w:r w:rsidR="00F91C35">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F91C35">
        <w:rPr>
          <w:rFonts w:ascii="Times New Roman" w:hAnsi="Times New Roman" w:cs="Times New Roman"/>
          <w:sz w:val="24"/>
          <w:szCs w:val="24"/>
        </w:rPr>
        <w:t>5</w:t>
      </w:r>
      <w:r>
        <w:rPr>
          <w:rFonts w:ascii="Times New Roman" w:hAnsi="Times New Roman" w:cs="Times New Roman"/>
          <w:sz w:val="24"/>
          <w:szCs w:val="24"/>
        </w:rPr>
        <w:t xml:space="preserve"> и 202</w:t>
      </w:r>
      <w:r w:rsidR="00F91C35">
        <w:rPr>
          <w:rFonts w:ascii="Times New Roman" w:hAnsi="Times New Roman" w:cs="Times New Roman"/>
          <w:sz w:val="24"/>
          <w:szCs w:val="24"/>
        </w:rPr>
        <w:t>6</w:t>
      </w:r>
      <w:r>
        <w:rPr>
          <w:rFonts w:ascii="Times New Roman" w:hAnsi="Times New Roman" w:cs="Times New Roman"/>
          <w:sz w:val="24"/>
          <w:szCs w:val="24"/>
        </w:rPr>
        <w:t xml:space="preserve"> годов внесен распоряжением администрации Полтавского городского поселения Полтавского муниципального района на рассмотрение в представительный орган своевременно.</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2.Представленный проект  бюджета соответствует требованиям статьям 184.1 и 184.2 Бюджетного Кодекса Российской Федерации в части полноты самого проекта решения, а также документов и материалов, предоставляемых в Совет одновременно с ними. </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3.В соответствии с положениями  статьи 172 Бюджетного кодекса РФ проект бюджета основан на основных направлениях бюджетной и налоговой политики муниципального образования, прогнозе социально-экономического развития  территории, бюджетном прогнозе муниципального образования на долгосрочный период.</w:t>
      </w: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4.Прогноз социально-экономического развития поселения на 202</w:t>
      </w:r>
      <w:r w:rsidR="003D06D5">
        <w:rPr>
          <w:rFonts w:ascii="Times New Roman" w:hAnsi="Times New Roman" w:cs="Times New Roman"/>
          <w:sz w:val="24"/>
          <w:szCs w:val="24"/>
        </w:rPr>
        <w:t>4</w:t>
      </w:r>
      <w:r>
        <w:rPr>
          <w:rFonts w:ascii="Times New Roman" w:hAnsi="Times New Roman" w:cs="Times New Roman"/>
          <w:sz w:val="24"/>
          <w:szCs w:val="24"/>
        </w:rPr>
        <w:t xml:space="preserve"> и плановый период 202</w:t>
      </w:r>
      <w:r w:rsidR="003D06D5">
        <w:rPr>
          <w:rFonts w:ascii="Times New Roman" w:hAnsi="Times New Roman" w:cs="Times New Roman"/>
          <w:sz w:val="24"/>
          <w:szCs w:val="24"/>
        </w:rPr>
        <w:t>5</w:t>
      </w:r>
      <w:r>
        <w:rPr>
          <w:rFonts w:ascii="Times New Roman" w:hAnsi="Times New Roman" w:cs="Times New Roman"/>
          <w:sz w:val="24"/>
          <w:szCs w:val="24"/>
        </w:rPr>
        <w:t xml:space="preserve"> и 202</w:t>
      </w:r>
      <w:r w:rsidR="003D06D5">
        <w:rPr>
          <w:rFonts w:ascii="Times New Roman" w:hAnsi="Times New Roman" w:cs="Times New Roman"/>
          <w:sz w:val="24"/>
          <w:szCs w:val="24"/>
        </w:rPr>
        <w:t>6</w:t>
      </w:r>
      <w:r>
        <w:rPr>
          <w:rFonts w:ascii="Times New Roman" w:hAnsi="Times New Roman" w:cs="Times New Roman"/>
          <w:sz w:val="24"/>
          <w:szCs w:val="24"/>
        </w:rPr>
        <w:t xml:space="preserve"> годов  одобрен в соответствии с бюджетным законодательством.</w:t>
      </w:r>
    </w:p>
    <w:p w:rsidR="007039C9" w:rsidRDefault="003F635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5.Основные характеристики бюджета (общий объем доходов, общий объем расходов, дефицит (профицит) бюджета) спрогнозированы  в соответствии со ст.184.1 Бюджетного кодекса </w:t>
      </w:r>
    </w:p>
    <w:p w:rsidR="007039C9" w:rsidRDefault="003D0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3F6358">
        <w:rPr>
          <w:rFonts w:ascii="Times New Roman" w:hAnsi="Times New Roman" w:cs="Times New Roman"/>
          <w:sz w:val="24"/>
          <w:szCs w:val="24"/>
        </w:rPr>
        <w:t>. По своей структуре и содержанию проект  решения сформирован в соответствии с требованиями  пункта 3 статьи 184.1 Бюджетного кодекса РФ.</w:t>
      </w:r>
    </w:p>
    <w:p w:rsidR="007039C9" w:rsidRDefault="003D06D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F6358">
        <w:rPr>
          <w:rFonts w:ascii="Times New Roman" w:hAnsi="Times New Roman" w:cs="Times New Roman"/>
          <w:sz w:val="24"/>
          <w:szCs w:val="24"/>
        </w:rPr>
        <w:t>. Результаты рассмотрения проекта решения в части прогнозируемых доходов на 202</w:t>
      </w:r>
      <w:r>
        <w:rPr>
          <w:rFonts w:ascii="Times New Roman" w:hAnsi="Times New Roman" w:cs="Times New Roman"/>
          <w:sz w:val="24"/>
          <w:szCs w:val="24"/>
        </w:rPr>
        <w:t>4</w:t>
      </w:r>
      <w:r w:rsidR="003F6358">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5</w:t>
      </w:r>
      <w:r w:rsidR="003F6358">
        <w:rPr>
          <w:rFonts w:ascii="Times New Roman" w:hAnsi="Times New Roman" w:cs="Times New Roman"/>
          <w:sz w:val="24"/>
          <w:szCs w:val="24"/>
        </w:rPr>
        <w:t xml:space="preserve"> и 202</w:t>
      </w:r>
      <w:r>
        <w:rPr>
          <w:rFonts w:ascii="Times New Roman" w:hAnsi="Times New Roman" w:cs="Times New Roman"/>
          <w:sz w:val="24"/>
          <w:szCs w:val="24"/>
        </w:rPr>
        <w:t>6</w:t>
      </w:r>
      <w:r w:rsidR="003F6358">
        <w:rPr>
          <w:rFonts w:ascii="Times New Roman" w:hAnsi="Times New Roman" w:cs="Times New Roman"/>
          <w:sz w:val="24"/>
          <w:szCs w:val="24"/>
        </w:rPr>
        <w:t xml:space="preserve"> годов свидетельствует о соблюдении требований бюджетного законодательства, предъявляемых к формированию бюджета (ст.174.1 БК РФ). Предусмотренные проектом решения виды налоговых и неналоговых доходов местного бюджета соответствуют перечню, установленному БК РФ. </w:t>
      </w:r>
    </w:p>
    <w:p w:rsidR="007039C9" w:rsidRDefault="003F6358">
      <w:pPr>
        <w:widowControl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9. Расходная часть бюджета сформирована в соответствии с законодательно обусловленными расходными обязательствами, исполнение которых должно производиться в очередном финансовом году и плановом периоде за счет бюджетных средств. </w:t>
      </w:r>
      <w:r>
        <w:rPr>
          <w:rFonts w:ascii="Times New Roman" w:hAnsi="Times New Roman" w:cs="Times New Roman"/>
          <w:bCs/>
          <w:sz w:val="24"/>
          <w:szCs w:val="24"/>
        </w:rPr>
        <w:t>Расчет планируемых ассигнований  учитывает уровень инфляции текущег</w:t>
      </w:r>
      <w:r w:rsidR="003D06D5">
        <w:rPr>
          <w:rFonts w:ascii="Times New Roman" w:hAnsi="Times New Roman" w:cs="Times New Roman"/>
          <w:bCs/>
          <w:sz w:val="24"/>
          <w:szCs w:val="24"/>
        </w:rPr>
        <w:t>о года и прогнозируемого на 2024</w:t>
      </w:r>
      <w:r>
        <w:rPr>
          <w:rFonts w:ascii="Times New Roman" w:hAnsi="Times New Roman" w:cs="Times New Roman"/>
          <w:bCs/>
          <w:sz w:val="24"/>
          <w:szCs w:val="24"/>
        </w:rPr>
        <w:t xml:space="preserve"> год, планируемую индексацию социальных выплат.</w:t>
      </w:r>
    </w:p>
    <w:p w:rsidR="007039C9" w:rsidRDefault="003F635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на исполнение муниципальных программ на 202</w:t>
      </w:r>
      <w:r w:rsidR="003D06D5">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3D06D5">
        <w:rPr>
          <w:rFonts w:ascii="Times New Roman" w:hAnsi="Times New Roman" w:cs="Times New Roman"/>
          <w:sz w:val="24"/>
          <w:szCs w:val="24"/>
        </w:rPr>
        <w:t>5</w:t>
      </w:r>
      <w:r>
        <w:rPr>
          <w:rFonts w:ascii="Times New Roman" w:hAnsi="Times New Roman" w:cs="Times New Roman"/>
          <w:sz w:val="24"/>
          <w:szCs w:val="24"/>
        </w:rPr>
        <w:t xml:space="preserve"> и 202</w:t>
      </w:r>
      <w:r w:rsidR="003D06D5">
        <w:rPr>
          <w:rFonts w:ascii="Times New Roman" w:hAnsi="Times New Roman" w:cs="Times New Roman"/>
          <w:sz w:val="24"/>
          <w:szCs w:val="24"/>
        </w:rPr>
        <w:t>6</w:t>
      </w:r>
      <w:r>
        <w:rPr>
          <w:rFonts w:ascii="Times New Roman" w:hAnsi="Times New Roman" w:cs="Times New Roman"/>
          <w:sz w:val="24"/>
          <w:szCs w:val="24"/>
        </w:rPr>
        <w:t xml:space="preserve"> годов предлагаются к утверждению на основании проектов паспортов муниципальных программ в полном объеме. </w:t>
      </w:r>
    </w:p>
    <w:p w:rsidR="007039C9" w:rsidRDefault="003F63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На основании изложенного, </w:t>
      </w:r>
      <w:r w:rsidR="003D06D5">
        <w:rPr>
          <w:rFonts w:ascii="Times New Roman" w:hAnsi="Times New Roman" w:cs="Times New Roman"/>
          <w:sz w:val="24"/>
          <w:szCs w:val="24"/>
        </w:rPr>
        <w:t>К</w:t>
      </w:r>
      <w:r>
        <w:rPr>
          <w:rFonts w:ascii="Times New Roman" w:hAnsi="Times New Roman" w:cs="Times New Roman"/>
          <w:sz w:val="24"/>
          <w:szCs w:val="24"/>
        </w:rPr>
        <w:t>онтрольно-счетный орган</w:t>
      </w:r>
      <w:r w:rsidR="003D06D5">
        <w:rPr>
          <w:rFonts w:ascii="Times New Roman" w:hAnsi="Times New Roman" w:cs="Times New Roman"/>
          <w:sz w:val="24"/>
          <w:szCs w:val="24"/>
        </w:rPr>
        <w:t xml:space="preserve"> муниципального образования «Полтавский муниципальный район Омской области»</w:t>
      </w:r>
      <w:r>
        <w:rPr>
          <w:rFonts w:ascii="Times New Roman" w:hAnsi="Times New Roman" w:cs="Times New Roman"/>
          <w:sz w:val="24"/>
          <w:szCs w:val="24"/>
        </w:rPr>
        <w:t xml:space="preserve"> считает, что  проект бюджета Полтавского городского поселения Полтавского муниципального района  на  202</w:t>
      </w:r>
      <w:r w:rsidR="003D06D5">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3D06D5">
        <w:rPr>
          <w:rFonts w:ascii="Times New Roman" w:hAnsi="Times New Roman" w:cs="Times New Roman"/>
          <w:sz w:val="24"/>
          <w:szCs w:val="24"/>
        </w:rPr>
        <w:t>5 и 2026</w:t>
      </w:r>
      <w:r>
        <w:rPr>
          <w:rFonts w:ascii="Times New Roman" w:hAnsi="Times New Roman" w:cs="Times New Roman"/>
          <w:sz w:val="24"/>
          <w:szCs w:val="24"/>
        </w:rPr>
        <w:t xml:space="preserve"> годов  соответствует  нормам бюджетного законодательства и может быть  рекомендован к принятию в первом чтении.</w:t>
      </w:r>
    </w:p>
    <w:p w:rsidR="007039C9" w:rsidRDefault="007039C9">
      <w:pPr>
        <w:spacing w:after="0" w:line="240" w:lineRule="auto"/>
        <w:ind w:firstLine="709"/>
        <w:jc w:val="both"/>
        <w:rPr>
          <w:rFonts w:ascii="Times New Roman" w:hAnsi="Times New Roman" w:cs="Times New Roman"/>
          <w:sz w:val="24"/>
          <w:szCs w:val="24"/>
        </w:rPr>
      </w:pPr>
    </w:p>
    <w:p w:rsidR="007039C9" w:rsidRDefault="007039C9">
      <w:pPr>
        <w:spacing w:after="0" w:line="240" w:lineRule="auto"/>
        <w:ind w:firstLine="709"/>
        <w:jc w:val="both"/>
        <w:rPr>
          <w:rFonts w:ascii="Times New Roman" w:hAnsi="Times New Roman" w:cs="Times New Roman"/>
          <w:color w:val="FF0000"/>
          <w:sz w:val="24"/>
          <w:szCs w:val="24"/>
        </w:rPr>
      </w:pPr>
    </w:p>
    <w:p w:rsidR="007039C9" w:rsidRDefault="007039C9">
      <w:pPr>
        <w:spacing w:after="0" w:line="240" w:lineRule="auto"/>
        <w:ind w:firstLine="709"/>
        <w:jc w:val="both"/>
        <w:rPr>
          <w:rFonts w:ascii="Times New Roman" w:hAnsi="Times New Roman" w:cs="Times New Roman"/>
          <w:color w:val="FF0000"/>
          <w:sz w:val="24"/>
          <w:szCs w:val="24"/>
        </w:rPr>
      </w:pPr>
    </w:p>
    <w:p w:rsidR="007039C9" w:rsidRDefault="003F6358">
      <w:pPr>
        <w:tabs>
          <w:tab w:val="center" w:pos="4677"/>
        </w:tabs>
        <w:spacing w:after="0" w:line="240" w:lineRule="auto"/>
      </w:pPr>
      <w:r>
        <w:rPr>
          <w:rFonts w:ascii="Times New Roman" w:hAnsi="Times New Roman" w:cs="Times New Roman"/>
          <w:sz w:val="24"/>
          <w:szCs w:val="24"/>
        </w:rPr>
        <w:t xml:space="preserve">Председатель                                                                                                Е. В. Галаган                        </w:t>
      </w:r>
    </w:p>
    <w:sectPr w:rsidR="007039C9" w:rsidSect="007039C9">
      <w:headerReference w:type="default" r:id="rId8"/>
      <w:pgSz w:w="11906" w:h="16838"/>
      <w:pgMar w:top="1134" w:right="850" w:bottom="1134" w:left="1701" w:header="708"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16C" w:rsidRDefault="005D016C" w:rsidP="007039C9">
      <w:pPr>
        <w:spacing w:after="0" w:line="240" w:lineRule="auto"/>
      </w:pPr>
      <w:r>
        <w:separator/>
      </w:r>
    </w:p>
  </w:endnote>
  <w:endnote w:type="continuationSeparator" w:id="1">
    <w:p w:rsidR="005D016C" w:rsidRDefault="005D016C" w:rsidP="0070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800022EF" w:usb1="C000205A" w:usb2="00000008" w:usb3="00000000" w:csb0="00000057"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80"/>
    <w:family w:val="swiss"/>
    <w:notTrueType/>
    <w:pitch w:val="variable"/>
    <w:sig w:usb0="30000287" w:usb1="2BDF3C10" w:usb2="00000016" w:usb3="00000000" w:csb0="002E0107" w:csb1="00000000"/>
  </w:font>
  <w:font w:name="Lohit Devanagari">
    <w:panose1 w:val="020B0600000000000000"/>
    <w:charset w:val="00"/>
    <w:family w:val="swiss"/>
    <w:pitch w:val="variable"/>
    <w:sig w:usb0="80008023" w:usb1="00002042"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16C" w:rsidRDefault="005D016C" w:rsidP="007039C9">
      <w:pPr>
        <w:spacing w:after="0" w:line="240" w:lineRule="auto"/>
      </w:pPr>
      <w:r>
        <w:separator/>
      </w:r>
    </w:p>
  </w:footnote>
  <w:footnote w:type="continuationSeparator" w:id="1">
    <w:p w:rsidR="005D016C" w:rsidRDefault="005D016C" w:rsidP="007039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E" w:rsidRDefault="00D56EDE">
    <w:pPr>
      <w:pStyle w:val="Header"/>
      <w:jc w:val="center"/>
    </w:pPr>
    <w:fldSimple w:instr="PAGE">
      <w:r w:rsidR="00B3258D">
        <w:rPr>
          <w:noProof/>
        </w:rPr>
        <w:t>4</w:t>
      </w:r>
    </w:fldSimple>
  </w:p>
  <w:p w:rsidR="00D56EDE" w:rsidRDefault="00D56E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autoHyphenation/>
  <w:characterSpacingControl w:val="doNotCompress"/>
  <w:footnotePr>
    <w:footnote w:id="0"/>
    <w:footnote w:id="1"/>
  </w:footnotePr>
  <w:endnotePr>
    <w:endnote w:id="0"/>
    <w:endnote w:id="1"/>
  </w:endnotePr>
  <w:compat/>
  <w:rsids>
    <w:rsidRoot w:val="007039C9"/>
    <w:rsid w:val="000130D1"/>
    <w:rsid w:val="00027671"/>
    <w:rsid w:val="0006224A"/>
    <w:rsid w:val="00072CD7"/>
    <w:rsid w:val="00074F22"/>
    <w:rsid w:val="000905B8"/>
    <w:rsid w:val="000A06AB"/>
    <w:rsid w:val="000C2D94"/>
    <w:rsid w:val="000D4930"/>
    <w:rsid w:val="000F39C0"/>
    <w:rsid w:val="000F6299"/>
    <w:rsid w:val="001500EE"/>
    <w:rsid w:val="001950A0"/>
    <w:rsid w:val="001B3A5E"/>
    <w:rsid w:val="001C2CDD"/>
    <w:rsid w:val="001C5CC1"/>
    <w:rsid w:val="001D729C"/>
    <w:rsid w:val="001E05F8"/>
    <w:rsid w:val="00244BDA"/>
    <w:rsid w:val="00291797"/>
    <w:rsid w:val="002A756B"/>
    <w:rsid w:val="002D3E06"/>
    <w:rsid w:val="002E3F58"/>
    <w:rsid w:val="00310287"/>
    <w:rsid w:val="00323899"/>
    <w:rsid w:val="00332CC5"/>
    <w:rsid w:val="00332E7E"/>
    <w:rsid w:val="00352DBE"/>
    <w:rsid w:val="00361832"/>
    <w:rsid w:val="003637E9"/>
    <w:rsid w:val="00376504"/>
    <w:rsid w:val="003811E2"/>
    <w:rsid w:val="00394F55"/>
    <w:rsid w:val="003D01AB"/>
    <w:rsid w:val="003D06D5"/>
    <w:rsid w:val="003D232A"/>
    <w:rsid w:val="003F3B57"/>
    <w:rsid w:val="003F6358"/>
    <w:rsid w:val="00401962"/>
    <w:rsid w:val="00401DA9"/>
    <w:rsid w:val="0040576C"/>
    <w:rsid w:val="00413E4D"/>
    <w:rsid w:val="00445622"/>
    <w:rsid w:val="0045255C"/>
    <w:rsid w:val="00461FB9"/>
    <w:rsid w:val="00462D80"/>
    <w:rsid w:val="00475949"/>
    <w:rsid w:val="004A6D1F"/>
    <w:rsid w:val="004C5DA2"/>
    <w:rsid w:val="004D4406"/>
    <w:rsid w:val="0054730A"/>
    <w:rsid w:val="005740D1"/>
    <w:rsid w:val="0059692A"/>
    <w:rsid w:val="005C601F"/>
    <w:rsid w:val="005D016C"/>
    <w:rsid w:val="00612F9E"/>
    <w:rsid w:val="00633496"/>
    <w:rsid w:val="00691280"/>
    <w:rsid w:val="00691D83"/>
    <w:rsid w:val="006963DC"/>
    <w:rsid w:val="006B60EB"/>
    <w:rsid w:val="006C2247"/>
    <w:rsid w:val="006C4F19"/>
    <w:rsid w:val="006E6617"/>
    <w:rsid w:val="007039C9"/>
    <w:rsid w:val="007045B2"/>
    <w:rsid w:val="007C7CFE"/>
    <w:rsid w:val="007D53BE"/>
    <w:rsid w:val="008316D2"/>
    <w:rsid w:val="00867649"/>
    <w:rsid w:val="008701B1"/>
    <w:rsid w:val="00881EB5"/>
    <w:rsid w:val="008A320D"/>
    <w:rsid w:val="008D1B54"/>
    <w:rsid w:val="008F349F"/>
    <w:rsid w:val="008F48B5"/>
    <w:rsid w:val="008F72DC"/>
    <w:rsid w:val="00920180"/>
    <w:rsid w:val="009264AB"/>
    <w:rsid w:val="00970AF2"/>
    <w:rsid w:val="00970C0F"/>
    <w:rsid w:val="00975073"/>
    <w:rsid w:val="00990FF4"/>
    <w:rsid w:val="00992A66"/>
    <w:rsid w:val="009A2300"/>
    <w:rsid w:val="009E0B0B"/>
    <w:rsid w:val="00A06DF1"/>
    <w:rsid w:val="00A104C3"/>
    <w:rsid w:val="00A11181"/>
    <w:rsid w:val="00A40028"/>
    <w:rsid w:val="00A8573C"/>
    <w:rsid w:val="00A949F4"/>
    <w:rsid w:val="00AA1C64"/>
    <w:rsid w:val="00AA5DF5"/>
    <w:rsid w:val="00AA6962"/>
    <w:rsid w:val="00AB0F69"/>
    <w:rsid w:val="00AF3617"/>
    <w:rsid w:val="00B03617"/>
    <w:rsid w:val="00B05011"/>
    <w:rsid w:val="00B076D5"/>
    <w:rsid w:val="00B314A0"/>
    <w:rsid w:val="00B3258D"/>
    <w:rsid w:val="00B60F80"/>
    <w:rsid w:val="00B66F44"/>
    <w:rsid w:val="00B72FF5"/>
    <w:rsid w:val="00B94783"/>
    <w:rsid w:val="00BD27D1"/>
    <w:rsid w:val="00BD37E5"/>
    <w:rsid w:val="00C87C48"/>
    <w:rsid w:val="00C87F60"/>
    <w:rsid w:val="00C94D73"/>
    <w:rsid w:val="00CB53CA"/>
    <w:rsid w:val="00CC2413"/>
    <w:rsid w:val="00CC2C3B"/>
    <w:rsid w:val="00D245FD"/>
    <w:rsid w:val="00D32906"/>
    <w:rsid w:val="00D560A4"/>
    <w:rsid w:val="00D56EDE"/>
    <w:rsid w:val="00D61F28"/>
    <w:rsid w:val="00D66D0A"/>
    <w:rsid w:val="00DB2B6F"/>
    <w:rsid w:val="00DC507E"/>
    <w:rsid w:val="00DC77DE"/>
    <w:rsid w:val="00DD66B3"/>
    <w:rsid w:val="00DE3D45"/>
    <w:rsid w:val="00DF5F52"/>
    <w:rsid w:val="00E01DAD"/>
    <w:rsid w:val="00E02440"/>
    <w:rsid w:val="00E16B9A"/>
    <w:rsid w:val="00E6668F"/>
    <w:rsid w:val="00E820BF"/>
    <w:rsid w:val="00EB26EA"/>
    <w:rsid w:val="00EC509D"/>
    <w:rsid w:val="00EC70CE"/>
    <w:rsid w:val="00F02489"/>
    <w:rsid w:val="00F21335"/>
    <w:rsid w:val="00F23185"/>
    <w:rsid w:val="00F27289"/>
    <w:rsid w:val="00F406B9"/>
    <w:rsid w:val="00F57830"/>
    <w:rsid w:val="00F711B4"/>
    <w:rsid w:val="00F91C35"/>
    <w:rsid w:val="00FC420C"/>
    <w:rsid w:val="00FE0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C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AE7E80"/>
    <w:pPr>
      <w:keepNext/>
      <w:spacing w:after="0" w:line="240" w:lineRule="auto"/>
      <w:jc w:val="center"/>
      <w:outlineLvl w:val="0"/>
    </w:pPr>
    <w:rPr>
      <w:rFonts w:ascii="Times New Roman" w:eastAsia="Times New Roman" w:hAnsi="Times New Roman" w:cs="Times New Roman"/>
      <w:b/>
      <w:sz w:val="28"/>
      <w:szCs w:val="20"/>
      <w:lang w:eastAsia="ru-RU"/>
    </w:rPr>
  </w:style>
  <w:style w:type="character" w:customStyle="1" w:styleId="a3">
    <w:name w:val="Нижний колонтитул Знак"/>
    <w:basedOn w:val="a0"/>
    <w:uiPriority w:val="99"/>
    <w:qFormat/>
    <w:rsid w:val="00E33EC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E33EC5"/>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semiHidden/>
    <w:qFormat/>
    <w:rsid w:val="00E33EC5"/>
    <w:rPr>
      <w:rFonts w:ascii="Tahoma" w:hAnsi="Tahoma" w:cs="Tahoma"/>
      <w:sz w:val="16"/>
      <w:szCs w:val="16"/>
    </w:rPr>
  </w:style>
  <w:style w:type="character" w:customStyle="1" w:styleId="a6">
    <w:name w:val="Основной текст с отступом Знак"/>
    <w:basedOn w:val="a0"/>
    <w:qFormat/>
    <w:rsid w:val="003B6DE5"/>
    <w:rPr>
      <w:rFonts w:ascii="Times New Roman" w:eastAsia="Times New Roman" w:hAnsi="Times New Roman" w:cs="Times New Roman"/>
      <w:sz w:val="24"/>
      <w:szCs w:val="24"/>
      <w:lang w:eastAsia="ru-RU"/>
    </w:rPr>
  </w:style>
  <w:style w:type="character" w:customStyle="1" w:styleId="FontStyle34">
    <w:name w:val="Font Style34"/>
    <w:basedOn w:val="a0"/>
    <w:qFormat/>
    <w:rsid w:val="00E91205"/>
    <w:rPr>
      <w:rFonts w:ascii="Times New Roman" w:hAnsi="Times New Roman" w:cs="Times New Roman"/>
      <w:sz w:val="26"/>
      <w:szCs w:val="26"/>
    </w:rPr>
  </w:style>
  <w:style w:type="character" w:customStyle="1" w:styleId="a7">
    <w:name w:val="Название Знак"/>
    <w:basedOn w:val="a0"/>
    <w:qFormat/>
    <w:rsid w:val="003423D1"/>
    <w:rPr>
      <w:rFonts w:ascii="Times New Roman" w:eastAsia="Times New Roman" w:hAnsi="Times New Roman" w:cs="Times New Roman"/>
      <w:sz w:val="28"/>
      <w:szCs w:val="24"/>
      <w:lang w:eastAsia="ru-RU"/>
    </w:rPr>
  </w:style>
  <w:style w:type="character" w:customStyle="1" w:styleId="a8">
    <w:name w:val="Основной текст Знак"/>
    <w:basedOn w:val="a0"/>
    <w:qFormat/>
    <w:rsid w:val="00562E65"/>
    <w:rPr>
      <w:rFonts w:ascii="Times New Roman" w:eastAsia="Times New Roman" w:hAnsi="Times New Roman" w:cs="Times New Roman"/>
      <w:sz w:val="28"/>
      <w:szCs w:val="20"/>
      <w:lang w:eastAsia="ru-RU"/>
    </w:rPr>
  </w:style>
  <w:style w:type="character" w:customStyle="1" w:styleId="1">
    <w:name w:val="Заголовок 1 Знак"/>
    <w:basedOn w:val="a0"/>
    <w:qFormat/>
    <w:rsid w:val="00AE7E80"/>
    <w:rPr>
      <w:rFonts w:ascii="Times New Roman" w:eastAsia="Times New Roman" w:hAnsi="Times New Roman" w:cs="Times New Roman"/>
      <w:b/>
      <w:sz w:val="28"/>
      <w:szCs w:val="20"/>
      <w:lang w:eastAsia="ru-RU"/>
    </w:rPr>
  </w:style>
  <w:style w:type="character" w:customStyle="1" w:styleId="3">
    <w:name w:val="Основной текст с отступом 3 Знак"/>
    <w:basedOn w:val="a0"/>
    <w:link w:val="3"/>
    <w:qFormat/>
    <w:rsid w:val="00AE7E80"/>
    <w:rPr>
      <w:rFonts w:ascii="Times New Roman" w:eastAsia="Times New Roman" w:hAnsi="Times New Roman" w:cs="Times New Roman"/>
      <w:sz w:val="16"/>
      <w:szCs w:val="16"/>
      <w:lang w:eastAsia="ru-RU"/>
    </w:rPr>
  </w:style>
  <w:style w:type="character" w:customStyle="1" w:styleId="-">
    <w:name w:val="Интернет-ссылка"/>
    <w:rsid w:val="001E365F"/>
    <w:rPr>
      <w:color w:val="000080"/>
      <w:u w:val="single"/>
    </w:rPr>
  </w:style>
  <w:style w:type="paragraph" w:customStyle="1" w:styleId="a9">
    <w:name w:val="Заголовок"/>
    <w:basedOn w:val="a"/>
    <w:next w:val="aa"/>
    <w:qFormat/>
    <w:rsid w:val="001E365F"/>
    <w:pPr>
      <w:keepNext/>
      <w:spacing w:before="240" w:after="120"/>
    </w:pPr>
    <w:rPr>
      <w:rFonts w:ascii="Liberation Sans" w:eastAsia="Noto Sans CJK SC" w:hAnsi="Liberation Sans" w:cs="Lohit Devanagari"/>
      <w:sz w:val="28"/>
      <w:szCs w:val="28"/>
    </w:rPr>
  </w:style>
  <w:style w:type="paragraph" w:styleId="aa">
    <w:name w:val="Body Text"/>
    <w:basedOn w:val="a"/>
    <w:rsid w:val="00562E65"/>
    <w:pPr>
      <w:spacing w:after="120" w:line="240" w:lineRule="auto"/>
    </w:pPr>
    <w:rPr>
      <w:rFonts w:ascii="Times New Roman" w:eastAsia="Times New Roman" w:hAnsi="Times New Roman" w:cs="Times New Roman"/>
      <w:sz w:val="28"/>
      <w:szCs w:val="20"/>
      <w:lang w:eastAsia="ru-RU"/>
    </w:rPr>
  </w:style>
  <w:style w:type="paragraph" w:styleId="ab">
    <w:name w:val="List"/>
    <w:basedOn w:val="aa"/>
    <w:rsid w:val="001E365F"/>
    <w:rPr>
      <w:rFonts w:cs="Lohit Devanagari"/>
    </w:rPr>
  </w:style>
  <w:style w:type="paragraph" w:customStyle="1" w:styleId="Caption">
    <w:name w:val="Caption"/>
    <w:basedOn w:val="a"/>
    <w:qFormat/>
    <w:rsid w:val="001E365F"/>
    <w:pPr>
      <w:suppressLineNumbers/>
      <w:spacing w:before="120" w:after="120"/>
    </w:pPr>
    <w:rPr>
      <w:rFonts w:cs="Lohit Devanagari"/>
      <w:i/>
      <w:iCs/>
      <w:sz w:val="24"/>
      <w:szCs w:val="24"/>
    </w:rPr>
  </w:style>
  <w:style w:type="paragraph" w:styleId="ac">
    <w:name w:val="index heading"/>
    <w:basedOn w:val="a"/>
    <w:qFormat/>
    <w:rsid w:val="001E365F"/>
    <w:pPr>
      <w:suppressLineNumbers/>
    </w:pPr>
    <w:rPr>
      <w:rFonts w:cs="Lohit Devanagari"/>
    </w:rPr>
  </w:style>
  <w:style w:type="paragraph" w:customStyle="1" w:styleId="ad">
    <w:name w:val="Верхний и нижний колонтитулы"/>
    <w:basedOn w:val="a"/>
    <w:qFormat/>
    <w:rsid w:val="001E365F"/>
  </w:style>
  <w:style w:type="paragraph" w:customStyle="1" w:styleId="Footer">
    <w:name w:val="Footer"/>
    <w:basedOn w:val="a"/>
    <w:uiPriority w:val="99"/>
    <w:rsid w:val="00E33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Header">
    <w:name w:val="Header"/>
    <w:basedOn w:val="a"/>
    <w:uiPriority w:val="99"/>
    <w:rsid w:val="00E33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E33EC5"/>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E33EC5"/>
    <w:pPr>
      <w:ind w:left="720"/>
      <w:contextualSpacing/>
    </w:pPr>
    <w:rPr>
      <w:rFonts w:ascii="Calibri" w:eastAsia="Times New Roman" w:hAnsi="Calibri" w:cs="Times New Roman"/>
      <w:lang w:eastAsia="ru-RU"/>
    </w:rPr>
  </w:style>
  <w:style w:type="paragraph" w:styleId="af">
    <w:name w:val="Balloon Text"/>
    <w:basedOn w:val="a"/>
    <w:uiPriority w:val="99"/>
    <w:semiHidden/>
    <w:unhideWhenUsed/>
    <w:qFormat/>
    <w:rsid w:val="00E33EC5"/>
    <w:pPr>
      <w:spacing w:after="0" w:line="240" w:lineRule="auto"/>
    </w:pPr>
    <w:rPr>
      <w:rFonts w:ascii="Tahoma" w:hAnsi="Tahoma" w:cs="Tahoma"/>
      <w:sz w:val="16"/>
      <w:szCs w:val="16"/>
    </w:rPr>
  </w:style>
  <w:style w:type="paragraph" w:styleId="af0">
    <w:name w:val="Body Text Indent"/>
    <w:basedOn w:val="a"/>
    <w:rsid w:val="003B6DE5"/>
    <w:pPr>
      <w:spacing w:after="120" w:line="240" w:lineRule="auto"/>
      <w:ind w:left="283"/>
    </w:pPr>
    <w:rPr>
      <w:rFonts w:ascii="Times New Roman" w:eastAsia="Times New Roman" w:hAnsi="Times New Roman" w:cs="Times New Roman"/>
      <w:sz w:val="24"/>
      <w:szCs w:val="24"/>
      <w:lang w:eastAsia="ru-RU"/>
    </w:rPr>
  </w:style>
  <w:style w:type="paragraph" w:customStyle="1" w:styleId="Style9">
    <w:name w:val="Style9"/>
    <w:basedOn w:val="a"/>
    <w:qFormat/>
    <w:rsid w:val="00E91205"/>
    <w:pPr>
      <w:widowControl w:val="0"/>
      <w:spacing w:after="0" w:line="326" w:lineRule="exact"/>
      <w:ind w:firstLine="710"/>
      <w:jc w:val="both"/>
    </w:pPr>
    <w:rPr>
      <w:rFonts w:ascii="Times New Roman" w:eastAsia="Times New Roman" w:hAnsi="Times New Roman" w:cs="Times New Roman"/>
      <w:sz w:val="24"/>
      <w:szCs w:val="24"/>
      <w:lang w:eastAsia="ru-RU"/>
    </w:rPr>
  </w:style>
  <w:style w:type="paragraph" w:customStyle="1" w:styleId="Style1">
    <w:name w:val="Style1"/>
    <w:basedOn w:val="a"/>
    <w:qFormat/>
    <w:rsid w:val="00E91205"/>
    <w:pPr>
      <w:widowControl w:val="0"/>
      <w:spacing w:after="0" w:line="319" w:lineRule="exact"/>
      <w:jc w:val="center"/>
    </w:pPr>
    <w:rPr>
      <w:rFonts w:ascii="Times New Roman" w:eastAsia="Times New Roman" w:hAnsi="Times New Roman" w:cs="Times New Roman"/>
      <w:sz w:val="24"/>
      <w:szCs w:val="24"/>
      <w:lang w:eastAsia="ru-RU"/>
    </w:rPr>
  </w:style>
  <w:style w:type="paragraph" w:styleId="af1">
    <w:name w:val="Title"/>
    <w:basedOn w:val="a"/>
    <w:qFormat/>
    <w:rsid w:val="003423D1"/>
    <w:pPr>
      <w:spacing w:after="0" w:line="240" w:lineRule="auto"/>
      <w:jc w:val="center"/>
    </w:pPr>
    <w:rPr>
      <w:rFonts w:ascii="Times New Roman" w:eastAsia="Times New Roman" w:hAnsi="Times New Roman" w:cs="Times New Roman"/>
      <w:sz w:val="28"/>
      <w:szCs w:val="24"/>
      <w:lang w:eastAsia="ru-RU"/>
    </w:rPr>
  </w:style>
  <w:style w:type="paragraph" w:styleId="af2">
    <w:name w:val="Normal (Web)"/>
    <w:basedOn w:val="a"/>
    <w:uiPriority w:val="99"/>
    <w:qFormat/>
    <w:rsid w:val="00D34FF8"/>
    <w:pPr>
      <w:spacing w:after="75" w:line="240" w:lineRule="auto"/>
    </w:pPr>
    <w:rPr>
      <w:rFonts w:ascii="Verdana" w:eastAsia="Times New Roman" w:hAnsi="Verdana" w:cs="Times New Roman"/>
      <w:color w:val="000000"/>
      <w:sz w:val="18"/>
      <w:szCs w:val="18"/>
      <w:lang w:eastAsia="ru-RU"/>
    </w:rPr>
  </w:style>
  <w:style w:type="paragraph" w:customStyle="1" w:styleId="ConsNonformat">
    <w:name w:val="ConsNonformat"/>
    <w:qFormat/>
    <w:rsid w:val="007C2CB6"/>
    <w:pPr>
      <w:widowControl w:val="0"/>
    </w:pPr>
    <w:rPr>
      <w:rFonts w:ascii="Courier New" w:eastAsia="Times New Roman" w:hAnsi="Courier New" w:cs="Times New Roman"/>
      <w:sz w:val="22"/>
      <w:szCs w:val="20"/>
      <w:lang w:eastAsia="ru-RU"/>
    </w:rPr>
  </w:style>
  <w:style w:type="paragraph" w:customStyle="1" w:styleId="ConsNormal">
    <w:name w:val="ConsNormal"/>
    <w:qFormat/>
    <w:rsid w:val="007C2CB6"/>
    <w:pPr>
      <w:widowControl w:val="0"/>
      <w:ind w:firstLine="720"/>
    </w:pPr>
    <w:rPr>
      <w:rFonts w:ascii="Arial" w:eastAsia="Times New Roman" w:hAnsi="Arial" w:cs="Times New Roman"/>
      <w:sz w:val="22"/>
      <w:szCs w:val="20"/>
      <w:lang w:eastAsia="ru-RU"/>
    </w:rPr>
  </w:style>
  <w:style w:type="paragraph" w:styleId="30">
    <w:name w:val="Body Text Indent 3"/>
    <w:basedOn w:val="a"/>
    <w:qFormat/>
    <w:rsid w:val="00AE7E80"/>
    <w:pPr>
      <w:spacing w:after="120" w:line="240" w:lineRule="auto"/>
      <w:ind w:left="283"/>
    </w:pPr>
    <w:rPr>
      <w:rFonts w:ascii="Times New Roman" w:eastAsia="Times New Roman" w:hAnsi="Times New Roman" w:cs="Times New Roman"/>
      <w:sz w:val="16"/>
      <w:szCs w:val="16"/>
      <w:lang w:eastAsia="ru-RU"/>
    </w:rPr>
  </w:style>
  <w:style w:type="paragraph" w:customStyle="1" w:styleId="western">
    <w:name w:val="western"/>
    <w:basedOn w:val="a"/>
    <w:qFormat/>
    <w:rsid w:val="007E160B"/>
    <w:pPr>
      <w:suppressAutoHyphens w:val="0"/>
      <w:spacing w:beforeAutospacing="1" w:after="119" w:line="240" w:lineRule="auto"/>
    </w:pPr>
    <w:rPr>
      <w:rFonts w:ascii="Times New Roman" w:eastAsia="Times New Roman" w:hAnsi="Times New Roman" w:cs="Times New Roman"/>
      <w:color w:val="000000"/>
      <w:sz w:val="28"/>
      <w:szCs w:val="28"/>
      <w:lang w:eastAsia="ru-RU"/>
    </w:rPr>
  </w:style>
  <w:style w:type="table" w:styleId="af3">
    <w:name w:val="Table Grid"/>
    <w:basedOn w:val="a1"/>
    <w:rsid w:val="00E33EC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14219">
      <w:bodyDiv w:val="1"/>
      <w:marLeft w:val="0"/>
      <w:marRight w:val="0"/>
      <w:marTop w:val="0"/>
      <w:marBottom w:val="0"/>
      <w:divBdr>
        <w:top w:val="none" w:sz="0" w:space="0" w:color="auto"/>
        <w:left w:val="none" w:sz="0" w:space="0" w:color="auto"/>
        <w:bottom w:val="none" w:sz="0" w:space="0" w:color="auto"/>
        <w:right w:val="none" w:sz="0" w:space="0" w:color="auto"/>
      </w:divBdr>
    </w:div>
    <w:div w:id="77488841">
      <w:bodyDiv w:val="1"/>
      <w:marLeft w:val="0"/>
      <w:marRight w:val="0"/>
      <w:marTop w:val="0"/>
      <w:marBottom w:val="0"/>
      <w:divBdr>
        <w:top w:val="none" w:sz="0" w:space="0" w:color="auto"/>
        <w:left w:val="none" w:sz="0" w:space="0" w:color="auto"/>
        <w:bottom w:val="none" w:sz="0" w:space="0" w:color="auto"/>
        <w:right w:val="none" w:sz="0" w:space="0" w:color="auto"/>
      </w:divBdr>
    </w:div>
    <w:div w:id="177233264">
      <w:bodyDiv w:val="1"/>
      <w:marLeft w:val="0"/>
      <w:marRight w:val="0"/>
      <w:marTop w:val="0"/>
      <w:marBottom w:val="0"/>
      <w:divBdr>
        <w:top w:val="none" w:sz="0" w:space="0" w:color="auto"/>
        <w:left w:val="none" w:sz="0" w:space="0" w:color="auto"/>
        <w:bottom w:val="none" w:sz="0" w:space="0" w:color="auto"/>
        <w:right w:val="none" w:sz="0" w:space="0" w:color="auto"/>
      </w:divBdr>
    </w:div>
    <w:div w:id="242297719">
      <w:bodyDiv w:val="1"/>
      <w:marLeft w:val="0"/>
      <w:marRight w:val="0"/>
      <w:marTop w:val="0"/>
      <w:marBottom w:val="0"/>
      <w:divBdr>
        <w:top w:val="none" w:sz="0" w:space="0" w:color="auto"/>
        <w:left w:val="none" w:sz="0" w:space="0" w:color="auto"/>
        <w:bottom w:val="none" w:sz="0" w:space="0" w:color="auto"/>
        <w:right w:val="none" w:sz="0" w:space="0" w:color="auto"/>
      </w:divBdr>
    </w:div>
    <w:div w:id="588127234">
      <w:bodyDiv w:val="1"/>
      <w:marLeft w:val="0"/>
      <w:marRight w:val="0"/>
      <w:marTop w:val="0"/>
      <w:marBottom w:val="0"/>
      <w:divBdr>
        <w:top w:val="none" w:sz="0" w:space="0" w:color="auto"/>
        <w:left w:val="none" w:sz="0" w:space="0" w:color="auto"/>
        <w:bottom w:val="none" w:sz="0" w:space="0" w:color="auto"/>
        <w:right w:val="none" w:sz="0" w:space="0" w:color="auto"/>
      </w:divBdr>
    </w:div>
    <w:div w:id="728848794">
      <w:bodyDiv w:val="1"/>
      <w:marLeft w:val="0"/>
      <w:marRight w:val="0"/>
      <w:marTop w:val="0"/>
      <w:marBottom w:val="0"/>
      <w:divBdr>
        <w:top w:val="none" w:sz="0" w:space="0" w:color="auto"/>
        <w:left w:val="none" w:sz="0" w:space="0" w:color="auto"/>
        <w:bottom w:val="none" w:sz="0" w:space="0" w:color="auto"/>
        <w:right w:val="none" w:sz="0" w:space="0" w:color="auto"/>
      </w:divBdr>
    </w:div>
    <w:div w:id="735203824">
      <w:bodyDiv w:val="1"/>
      <w:marLeft w:val="0"/>
      <w:marRight w:val="0"/>
      <w:marTop w:val="0"/>
      <w:marBottom w:val="0"/>
      <w:divBdr>
        <w:top w:val="none" w:sz="0" w:space="0" w:color="auto"/>
        <w:left w:val="none" w:sz="0" w:space="0" w:color="auto"/>
        <w:bottom w:val="none" w:sz="0" w:space="0" w:color="auto"/>
        <w:right w:val="none" w:sz="0" w:space="0" w:color="auto"/>
      </w:divBdr>
    </w:div>
    <w:div w:id="879514247">
      <w:bodyDiv w:val="1"/>
      <w:marLeft w:val="0"/>
      <w:marRight w:val="0"/>
      <w:marTop w:val="0"/>
      <w:marBottom w:val="0"/>
      <w:divBdr>
        <w:top w:val="none" w:sz="0" w:space="0" w:color="auto"/>
        <w:left w:val="none" w:sz="0" w:space="0" w:color="auto"/>
        <w:bottom w:val="none" w:sz="0" w:space="0" w:color="auto"/>
        <w:right w:val="none" w:sz="0" w:space="0" w:color="auto"/>
      </w:divBdr>
    </w:div>
    <w:div w:id="994601765">
      <w:bodyDiv w:val="1"/>
      <w:marLeft w:val="0"/>
      <w:marRight w:val="0"/>
      <w:marTop w:val="0"/>
      <w:marBottom w:val="0"/>
      <w:divBdr>
        <w:top w:val="none" w:sz="0" w:space="0" w:color="auto"/>
        <w:left w:val="none" w:sz="0" w:space="0" w:color="auto"/>
        <w:bottom w:val="none" w:sz="0" w:space="0" w:color="auto"/>
        <w:right w:val="none" w:sz="0" w:space="0" w:color="auto"/>
      </w:divBdr>
    </w:div>
    <w:div w:id="1012146138">
      <w:bodyDiv w:val="1"/>
      <w:marLeft w:val="0"/>
      <w:marRight w:val="0"/>
      <w:marTop w:val="0"/>
      <w:marBottom w:val="0"/>
      <w:divBdr>
        <w:top w:val="none" w:sz="0" w:space="0" w:color="auto"/>
        <w:left w:val="none" w:sz="0" w:space="0" w:color="auto"/>
        <w:bottom w:val="none" w:sz="0" w:space="0" w:color="auto"/>
        <w:right w:val="none" w:sz="0" w:space="0" w:color="auto"/>
      </w:divBdr>
    </w:div>
    <w:div w:id="1095857473">
      <w:bodyDiv w:val="1"/>
      <w:marLeft w:val="0"/>
      <w:marRight w:val="0"/>
      <w:marTop w:val="0"/>
      <w:marBottom w:val="0"/>
      <w:divBdr>
        <w:top w:val="none" w:sz="0" w:space="0" w:color="auto"/>
        <w:left w:val="none" w:sz="0" w:space="0" w:color="auto"/>
        <w:bottom w:val="none" w:sz="0" w:space="0" w:color="auto"/>
        <w:right w:val="none" w:sz="0" w:space="0" w:color="auto"/>
      </w:divBdr>
    </w:div>
    <w:div w:id="1681351516">
      <w:bodyDiv w:val="1"/>
      <w:marLeft w:val="0"/>
      <w:marRight w:val="0"/>
      <w:marTop w:val="0"/>
      <w:marBottom w:val="0"/>
      <w:divBdr>
        <w:top w:val="none" w:sz="0" w:space="0" w:color="auto"/>
        <w:left w:val="none" w:sz="0" w:space="0" w:color="auto"/>
        <w:bottom w:val="none" w:sz="0" w:space="0" w:color="auto"/>
        <w:right w:val="none" w:sz="0" w:space="0" w:color="auto"/>
      </w:divBdr>
    </w:div>
    <w:div w:id="1829857405">
      <w:bodyDiv w:val="1"/>
      <w:marLeft w:val="0"/>
      <w:marRight w:val="0"/>
      <w:marTop w:val="0"/>
      <w:marBottom w:val="0"/>
      <w:divBdr>
        <w:top w:val="none" w:sz="0" w:space="0" w:color="auto"/>
        <w:left w:val="none" w:sz="0" w:space="0" w:color="auto"/>
        <w:bottom w:val="none" w:sz="0" w:space="0" w:color="auto"/>
        <w:right w:val="none" w:sz="0" w:space="0" w:color="auto"/>
      </w:divBdr>
    </w:div>
    <w:div w:id="1861821730">
      <w:bodyDiv w:val="1"/>
      <w:marLeft w:val="0"/>
      <w:marRight w:val="0"/>
      <w:marTop w:val="0"/>
      <w:marBottom w:val="0"/>
      <w:divBdr>
        <w:top w:val="none" w:sz="0" w:space="0" w:color="auto"/>
        <w:left w:val="none" w:sz="0" w:space="0" w:color="auto"/>
        <w:bottom w:val="none" w:sz="0" w:space="0" w:color="auto"/>
        <w:right w:val="none" w:sz="0" w:space="0" w:color="auto"/>
      </w:divBdr>
    </w:div>
    <w:div w:id="1879901341">
      <w:bodyDiv w:val="1"/>
      <w:marLeft w:val="0"/>
      <w:marRight w:val="0"/>
      <w:marTop w:val="0"/>
      <w:marBottom w:val="0"/>
      <w:divBdr>
        <w:top w:val="none" w:sz="0" w:space="0" w:color="auto"/>
        <w:left w:val="none" w:sz="0" w:space="0" w:color="auto"/>
        <w:bottom w:val="none" w:sz="0" w:space="0" w:color="auto"/>
        <w:right w:val="none" w:sz="0" w:space="0" w:color="auto"/>
      </w:divBdr>
    </w:div>
    <w:div w:id="206289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3337-6544-4E8E-A107-CAF53B2F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16</Pages>
  <Words>7329</Words>
  <Characters>41777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Win7x32</dc:creator>
  <dc:description/>
  <cp:lastModifiedBy>user108</cp:lastModifiedBy>
  <cp:revision>56</cp:revision>
  <cp:lastPrinted>2023-11-27T07:39:00Z</cp:lastPrinted>
  <dcterms:created xsi:type="dcterms:W3CDTF">2022-11-28T10:03:00Z</dcterms:created>
  <dcterms:modified xsi:type="dcterms:W3CDTF">2023-11-27T12:10:00Z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CtrlSoft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